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E3A" w:rsidRPr="00881C06" w:rsidRDefault="00881C06">
      <w:pPr>
        <w:rPr>
          <w:rFonts w:ascii="Times New Roman" w:hAnsi="Times New Roman" w:cs="Times New Roman"/>
          <w:sz w:val="36"/>
          <w:szCs w:val="36"/>
        </w:rPr>
      </w:pPr>
      <w:r w:rsidRPr="00881C06">
        <w:rPr>
          <w:rFonts w:ascii="Times New Roman" w:hAnsi="Times New Roman" w:cs="Times New Roman"/>
          <w:sz w:val="36"/>
          <w:szCs w:val="36"/>
        </w:rPr>
        <w:t xml:space="preserve">Report of the technical support meeting with the OECD delegation for the preparation of a </w:t>
      </w:r>
      <w:r w:rsidRPr="00881C06">
        <w:rPr>
          <w:rFonts w:ascii="Times New Roman" w:hAnsi="Times New Roman" w:cs="Times New Roman"/>
          <w:b/>
          <w:sz w:val="36"/>
          <w:szCs w:val="36"/>
        </w:rPr>
        <w:t>“New National Circular Economy Strategic Framework”</w:t>
      </w:r>
      <w:r w:rsidRPr="00881C06">
        <w:rPr>
          <w:rFonts w:ascii="Times New Roman" w:hAnsi="Times New Roman" w:cs="Times New Roman"/>
          <w:sz w:val="36"/>
          <w:szCs w:val="36"/>
        </w:rPr>
        <w:t xml:space="preserve"> for the Czech Republic.</w:t>
      </w:r>
    </w:p>
    <w:p w:rsidR="00881C06" w:rsidRDefault="00881C06">
      <w:pPr>
        <w:rPr>
          <w:rFonts w:ascii="Times New Roman" w:hAnsi="Times New Roman" w:cs="Times New Roman"/>
          <w:sz w:val="24"/>
          <w:szCs w:val="24"/>
        </w:rPr>
      </w:pPr>
      <w:r w:rsidRPr="00881C06">
        <w:rPr>
          <w:rFonts w:ascii="Times New Roman" w:hAnsi="Times New Roman" w:cs="Times New Roman"/>
          <w:sz w:val="24"/>
          <w:szCs w:val="24"/>
        </w:rPr>
        <w:t xml:space="preserve">The </w:t>
      </w:r>
      <w:r>
        <w:rPr>
          <w:rFonts w:ascii="Times New Roman" w:hAnsi="Times New Roman" w:cs="Times New Roman"/>
          <w:sz w:val="24"/>
          <w:szCs w:val="24"/>
        </w:rPr>
        <w:t>meeting took place at the Ministry of Environment 3-4 March 2020.</w:t>
      </w:r>
    </w:p>
    <w:p w:rsidR="00881C06" w:rsidRDefault="00881C06">
      <w:pPr>
        <w:rPr>
          <w:rFonts w:ascii="Times New Roman" w:hAnsi="Times New Roman" w:cs="Times New Roman"/>
          <w:sz w:val="24"/>
          <w:szCs w:val="24"/>
        </w:rPr>
      </w:pPr>
      <w:r w:rsidRPr="00881C06">
        <w:rPr>
          <w:rFonts w:ascii="Times New Roman" w:hAnsi="Times New Roman" w:cs="Times New Roman"/>
          <w:i/>
          <w:sz w:val="24"/>
          <w:szCs w:val="24"/>
        </w:rPr>
        <w:t>There were presented five thematic areas. The presentation was consisted on detailed analysis prepared by OECD consultants and experts in cooperation with Czech experts from the Ministry. After each presentation a constructive discussion was carried with Czech Stakeholders. There were present about 15 stakeholders representing Academia</w:t>
      </w:r>
      <w:r w:rsidR="00B5672A">
        <w:rPr>
          <w:rFonts w:ascii="Times New Roman" w:hAnsi="Times New Roman" w:cs="Times New Roman"/>
          <w:i/>
          <w:sz w:val="24"/>
          <w:szCs w:val="24"/>
        </w:rPr>
        <w:t>,</w:t>
      </w:r>
      <w:r w:rsidRPr="00881C06">
        <w:rPr>
          <w:rFonts w:ascii="Times New Roman" w:hAnsi="Times New Roman" w:cs="Times New Roman"/>
          <w:i/>
          <w:sz w:val="24"/>
          <w:szCs w:val="24"/>
        </w:rPr>
        <w:t xml:space="preserve"> Research Institutions, Public Administration Institutions and the Private Sector. </w:t>
      </w:r>
    </w:p>
    <w:p w:rsidR="00881C06" w:rsidRPr="00B5672A" w:rsidRDefault="00BE1004" w:rsidP="00881C06">
      <w:pPr>
        <w:pStyle w:val="ListParagraph"/>
        <w:numPr>
          <w:ilvl w:val="0"/>
          <w:numId w:val="1"/>
        </w:numPr>
        <w:rPr>
          <w:rFonts w:ascii="Times New Roman" w:hAnsi="Times New Roman" w:cs="Times New Roman"/>
          <w:i/>
          <w:sz w:val="24"/>
          <w:szCs w:val="24"/>
        </w:rPr>
      </w:pPr>
      <w:r w:rsidRPr="00BE1004">
        <w:rPr>
          <w:rFonts w:ascii="Times New Roman" w:hAnsi="Times New Roman" w:cs="Times New Roman"/>
          <w:b/>
          <w:sz w:val="24"/>
          <w:szCs w:val="24"/>
        </w:rPr>
        <w:t>Czech Policy Landscape and International Good Practices</w:t>
      </w:r>
      <w:r>
        <w:rPr>
          <w:rFonts w:ascii="Times New Roman" w:hAnsi="Times New Roman" w:cs="Times New Roman"/>
          <w:sz w:val="24"/>
          <w:szCs w:val="24"/>
        </w:rPr>
        <w:t xml:space="preserve"> </w:t>
      </w:r>
      <w:r w:rsidRPr="00B5672A">
        <w:rPr>
          <w:rFonts w:ascii="Times New Roman" w:hAnsi="Times New Roman" w:cs="Times New Roman"/>
          <w:i/>
        </w:rPr>
        <w:t xml:space="preserve">(Eva </w:t>
      </w:r>
      <w:proofErr w:type="spellStart"/>
      <w:r w:rsidRPr="00B5672A">
        <w:rPr>
          <w:rFonts w:ascii="Times New Roman" w:hAnsi="Times New Roman" w:cs="Times New Roman"/>
          <w:i/>
        </w:rPr>
        <w:t>Bartekova</w:t>
      </w:r>
      <w:proofErr w:type="spellEnd"/>
      <w:r w:rsidRPr="00B5672A">
        <w:rPr>
          <w:rFonts w:ascii="Times New Roman" w:hAnsi="Times New Roman" w:cs="Times New Roman"/>
          <w:i/>
        </w:rPr>
        <w:t xml:space="preserve"> &amp; Katarina </w:t>
      </w:r>
      <w:proofErr w:type="spellStart"/>
      <w:r w:rsidRPr="00B5672A">
        <w:rPr>
          <w:rFonts w:ascii="Times New Roman" w:hAnsi="Times New Roman" w:cs="Times New Roman"/>
          <w:i/>
        </w:rPr>
        <w:t>Svatikova</w:t>
      </w:r>
      <w:proofErr w:type="spellEnd"/>
      <w:r w:rsidRPr="00B5672A">
        <w:rPr>
          <w:rFonts w:ascii="Times New Roman" w:hAnsi="Times New Roman" w:cs="Times New Roman"/>
          <w:i/>
        </w:rPr>
        <w:t>, - OECD consultants)</w:t>
      </w:r>
    </w:p>
    <w:p w:rsidR="00BE1004" w:rsidRDefault="00BE1004" w:rsidP="00BE1004">
      <w:pPr>
        <w:rPr>
          <w:rFonts w:ascii="Times New Roman" w:hAnsi="Times New Roman" w:cs="Times New Roman"/>
          <w:sz w:val="24"/>
          <w:szCs w:val="24"/>
        </w:rPr>
      </w:pPr>
      <w:r>
        <w:rPr>
          <w:rFonts w:ascii="Times New Roman" w:hAnsi="Times New Roman" w:cs="Times New Roman"/>
          <w:sz w:val="24"/>
          <w:szCs w:val="24"/>
        </w:rPr>
        <w:t>It has been presented and overview of European policies, practices and mechanisms in all domains. There were analyzed pros and cons for each of them. It was mentioned that in general, most policies were oriented to Environmental priorities, while plans with an economic or business perspective were neglected. Further on, it was presented an overview of the Czech approach</w:t>
      </w:r>
      <w:r w:rsidR="004E2150">
        <w:rPr>
          <w:rFonts w:ascii="Times New Roman" w:hAnsi="Times New Roman" w:cs="Times New Roman"/>
          <w:sz w:val="24"/>
          <w:szCs w:val="24"/>
        </w:rPr>
        <w:t>. Although the Czech frame was more qualitative than quantitative it is well structured and based on evidence. Goals and Targets are defined and the Measures to be taken are decided. There have been detected a number of Gaps such as eco-design of products, lack of Economic Instruments, Consumer behavior and attitudes, Innovation and Research which are aimed to be filled in order to finalize the Czech Policy.</w:t>
      </w:r>
    </w:p>
    <w:p w:rsidR="004E2150" w:rsidRPr="00B5672A" w:rsidRDefault="004E2150" w:rsidP="004E2150">
      <w:pPr>
        <w:pStyle w:val="ListParagraph"/>
        <w:numPr>
          <w:ilvl w:val="0"/>
          <w:numId w:val="1"/>
        </w:numPr>
        <w:rPr>
          <w:rFonts w:ascii="Times New Roman" w:hAnsi="Times New Roman" w:cs="Times New Roman"/>
          <w:i/>
        </w:rPr>
      </w:pPr>
      <w:r w:rsidRPr="004E2150">
        <w:rPr>
          <w:rFonts w:ascii="Times New Roman" w:hAnsi="Times New Roman" w:cs="Times New Roman"/>
          <w:b/>
          <w:sz w:val="24"/>
          <w:szCs w:val="24"/>
        </w:rPr>
        <w:t>Economic Analysis Report</w:t>
      </w:r>
      <w:r>
        <w:rPr>
          <w:rFonts w:ascii="Times New Roman" w:hAnsi="Times New Roman" w:cs="Times New Roman"/>
          <w:sz w:val="24"/>
          <w:szCs w:val="24"/>
        </w:rPr>
        <w:t xml:space="preserve"> </w:t>
      </w:r>
      <w:r w:rsidRPr="00B5672A">
        <w:rPr>
          <w:rFonts w:ascii="Times New Roman" w:hAnsi="Times New Roman" w:cs="Times New Roman"/>
          <w:i/>
        </w:rPr>
        <w:t>(Jean Chateau – OECD consultant)</w:t>
      </w:r>
    </w:p>
    <w:p w:rsidR="00CF2C58" w:rsidRDefault="004E2150" w:rsidP="00CF2C58">
      <w:pPr>
        <w:spacing w:after="0" w:line="240" w:lineRule="auto"/>
        <w:rPr>
          <w:rFonts w:ascii="Times New Roman" w:eastAsiaTheme="minorEastAsia" w:hAnsi="Times New Roman" w:cs="Times New Roman"/>
          <w:kern w:val="24"/>
          <w:sz w:val="24"/>
          <w:szCs w:val="24"/>
        </w:rPr>
      </w:pPr>
      <w:r w:rsidRPr="00CF2C58">
        <w:rPr>
          <w:rFonts w:ascii="Times New Roman" w:hAnsi="Times New Roman" w:cs="Times New Roman"/>
          <w:sz w:val="24"/>
          <w:szCs w:val="24"/>
        </w:rPr>
        <w:t xml:space="preserve">Initially it was presented the ENV-Linkages Model providing projections on various data and indicators in a 40-years perspective (to the year 2060). </w:t>
      </w:r>
      <w:r w:rsidR="00CF2C58" w:rsidRPr="00CF2C58">
        <w:rPr>
          <w:rFonts w:ascii="Times New Roman" w:hAnsi="Times New Roman" w:cs="Times New Roman"/>
          <w:sz w:val="24"/>
          <w:szCs w:val="24"/>
        </w:rPr>
        <w:t xml:space="preserve">This model has been used for the Czech projections also. The applicability of the model was to many sectors and many regions, and had considered environmental issues and natural resources available. The Czech data were compared to those projected on World and European levels as well as among the OECD countries. It was demonstrated that Czech Republic is close to the European Average in most sectors. </w:t>
      </w:r>
      <w:r w:rsidR="00CF2C58" w:rsidRPr="00CF2C58">
        <w:rPr>
          <w:rFonts w:ascii="Times New Roman" w:eastAsiaTheme="minorEastAsia" w:hAnsi="Times New Roman" w:cs="Times New Roman"/>
          <w:kern w:val="24"/>
          <w:sz w:val="24"/>
          <w:szCs w:val="24"/>
        </w:rPr>
        <w:t xml:space="preserve">The key sectors that should be targeted are the manufacturing, construction and food sectors, which are the most material intensive. Circular policies could help to reduce metal and waste use by accelerating changes in production modes towards more recycling and more resource efficiency especially in the manufacturing sector. It was shown that decoupling construction materials from economic growth is more difficult, but also necessary and feasible. </w:t>
      </w:r>
      <w:r w:rsidR="00CF2C58" w:rsidRPr="00CF2C58">
        <w:rPr>
          <w:rFonts w:ascii="Times New Roman" w:eastAsia="Times New Roman" w:hAnsi="Times New Roman" w:cs="Times New Roman"/>
          <w:sz w:val="24"/>
          <w:szCs w:val="24"/>
        </w:rPr>
        <w:t>Finally, s</w:t>
      </w:r>
      <w:r w:rsidR="00CF2C58" w:rsidRPr="00CF2C58">
        <w:rPr>
          <w:rFonts w:ascii="Times New Roman" w:eastAsiaTheme="minorEastAsia" w:hAnsi="Times New Roman" w:cs="Times New Roman"/>
          <w:kern w:val="24"/>
          <w:sz w:val="24"/>
          <w:szCs w:val="24"/>
        </w:rPr>
        <w:t xml:space="preserve">trengthened efforts for food waste reduction could reduce the material footprint of this sector. </w:t>
      </w:r>
    </w:p>
    <w:p w:rsidR="00CF2C58" w:rsidRDefault="00CF2C58" w:rsidP="00CF2C58">
      <w:pPr>
        <w:spacing w:after="0" w:line="240" w:lineRule="auto"/>
        <w:rPr>
          <w:rFonts w:ascii="Times New Roman" w:eastAsia="Times New Roman" w:hAnsi="Times New Roman" w:cs="Times New Roman"/>
          <w:sz w:val="24"/>
          <w:szCs w:val="24"/>
        </w:rPr>
      </w:pPr>
    </w:p>
    <w:p w:rsidR="00E46A58" w:rsidRPr="00B5672A" w:rsidRDefault="00CF2C58" w:rsidP="00E46A58">
      <w:pPr>
        <w:pStyle w:val="ListParagraph"/>
        <w:numPr>
          <w:ilvl w:val="0"/>
          <w:numId w:val="1"/>
        </w:numPr>
        <w:spacing w:after="0" w:line="240" w:lineRule="auto"/>
        <w:contextualSpacing w:val="0"/>
        <w:rPr>
          <w:rFonts w:ascii="Times New Roman" w:eastAsia="Times New Roman" w:hAnsi="Times New Roman" w:cs="Times New Roman"/>
          <w:i/>
          <w:sz w:val="24"/>
          <w:szCs w:val="24"/>
        </w:rPr>
      </w:pPr>
      <w:r w:rsidRPr="00E46A58">
        <w:rPr>
          <w:rFonts w:ascii="Times New Roman" w:eastAsia="Times New Roman" w:hAnsi="Times New Roman" w:cs="Times New Roman"/>
          <w:b/>
          <w:sz w:val="24"/>
          <w:szCs w:val="24"/>
        </w:rPr>
        <w:t>Waste Management Report</w:t>
      </w:r>
      <w:r w:rsidRPr="00E46A58">
        <w:rPr>
          <w:rFonts w:ascii="Times New Roman" w:eastAsia="Times New Roman" w:hAnsi="Times New Roman" w:cs="Times New Roman"/>
          <w:sz w:val="24"/>
          <w:szCs w:val="24"/>
        </w:rPr>
        <w:t xml:space="preserve"> </w:t>
      </w:r>
      <w:r w:rsidRPr="00B5672A">
        <w:rPr>
          <w:rFonts w:ascii="Times New Roman" w:eastAsia="Times New Roman" w:hAnsi="Times New Roman" w:cs="Times New Roman"/>
          <w:i/>
        </w:rPr>
        <w:t xml:space="preserve">(Pavel </w:t>
      </w:r>
      <w:proofErr w:type="spellStart"/>
      <w:r w:rsidRPr="00B5672A">
        <w:rPr>
          <w:rFonts w:ascii="Times New Roman" w:eastAsia="Times New Roman" w:hAnsi="Times New Roman" w:cs="Times New Roman"/>
          <w:i/>
        </w:rPr>
        <w:t>Ruzicka</w:t>
      </w:r>
      <w:proofErr w:type="spellEnd"/>
      <w:r w:rsidRPr="00B5672A">
        <w:rPr>
          <w:rFonts w:ascii="Times New Roman" w:eastAsia="Times New Roman" w:hAnsi="Times New Roman" w:cs="Times New Roman"/>
          <w:i/>
        </w:rPr>
        <w:t xml:space="preserve">, Vladimir </w:t>
      </w:r>
      <w:proofErr w:type="spellStart"/>
      <w:r w:rsidRPr="00B5672A">
        <w:rPr>
          <w:rFonts w:ascii="Times New Roman" w:eastAsia="Times New Roman" w:hAnsi="Times New Roman" w:cs="Times New Roman"/>
          <w:i/>
        </w:rPr>
        <w:t>Dobes</w:t>
      </w:r>
      <w:proofErr w:type="spellEnd"/>
      <w:r w:rsidRPr="00B5672A">
        <w:rPr>
          <w:rFonts w:ascii="Times New Roman" w:eastAsia="Times New Roman" w:hAnsi="Times New Roman" w:cs="Times New Roman"/>
          <w:i/>
        </w:rPr>
        <w:t xml:space="preserve">, Jan </w:t>
      </w:r>
      <w:proofErr w:type="spellStart"/>
      <w:r w:rsidRPr="00B5672A">
        <w:rPr>
          <w:rFonts w:ascii="Times New Roman" w:eastAsia="Times New Roman" w:hAnsi="Times New Roman" w:cs="Times New Roman"/>
          <w:i/>
        </w:rPr>
        <w:t>Stejfa</w:t>
      </w:r>
      <w:proofErr w:type="spellEnd"/>
      <w:r w:rsidRPr="00B5672A">
        <w:rPr>
          <w:rFonts w:ascii="Times New Roman" w:eastAsia="Times New Roman" w:hAnsi="Times New Roman" w:cs="Times New Roman"/>
          <w:i/>
        </w:rPr>
        <w:t xml:space="preserve"> – Czech Experts)</w:t>
      </w:r>
    </w:p>
    <w:p w:rsidR="00682670" w:rsidRDefault="00E46A58" w:rsidP="00F565C2">
      <w:pPr>
        <w:pStyle w:val="NormalWeb"/>
        <w:spacing w:before="120" w:beforeAutospacing="0" w:after="0" w:afterAutospacing="0"/>
        <w:rPr>
          <w:rFonts w:eastAsiaTheme="minorEastAsia"/>
          <w:color w:val="000000" w:themeColor="text1"/>
          <w:kern w:val="24"/>
          <w:lang w:val="en-GB"/>
        </w:rPr>
      </w:pPr>
      <w:r>
        <w:rPr>
          <w:lang w:val="en-GB"/>
        </w:rPr>
        <w:t>It was u</w:t>
      </w:r>
      <w:r w:rsidR="00364F46" w:rsidRPr="00E46A58">
        <w:rPr>
          <w:lang w:val="en-GB"/>
        </w:rPr>
        <w:t>ndertake</w:t>
      </w:r>
      <w:r>
        <w:rPr>
          <w:lang w:val="en-GB"/>
        </w:rPr>
        <w:t>n</w:t>
      </w:r>
      <w:r w:rsidR="00364F46" w:rsidRPr="00E46A58">
        <w:rPr>
          <w:lang w:val="en-GB"/>
        </w:rPr>
        <w:t xml:space="preserve"> an analysis of the waste management prior</w:t>
      </w:r>
      <w:r w:rsidR="00364F46" w:rsidRPr="00E46A58">
        <w:rPr>
          <w:lang w:val="en-GB"/>
        </w:rPr>
        <w:t>ity area in the Czech Republic</w:t>
      </w:r>
      <w:r>
        <w:rPr>
          <w:lang w:val="en-GB"/>
        </w:rPr>
        <w:t>. There was presented an o</w:t>
      </w:r>
      <w:r w:rsidR="00364F46" w:rsidRPr="00E46A58">
        <w:rPr>
          <w:lang w:val="en-GB"/>
        </w:rPr>
        <w:t>verview of the current status of waste and materials management in the</w:t>
      </w:r>
      <w:r>
        <w:rPr>
          <w:lang w:val="en-GB"/>
        </w:rPr>
        <w:t xml:space="preserve"> country as </w:t>
      </w:r>
      <w:r w:rsidRPr="00E46A58">
        <w:rPr>
          <w:lang w:val="en-GB"/>
        </w:rPr>
        <w:t xml:space="preserve">well as a justified </w:t>
      </w:r>
      <w:r w:rsidR="00364F46" w:rsidRPr="00E46A58">
        <w:rPr>
          <w:lang w:val="en-GB"/>
        </w:rPr>
        <w:t>Gap analysis</w:t>
      </w:r>
      <w:r w:rsidRPr="00E46A58">
        <w:rPr>
          <w:lang w:val="en-GB"/>
        </w:rPr>
        <w:t xml:space="preserve"> followed by </w:t>
      </w:r>
      <w:r w:rsidR="00364F46" w:rsidRPr="00E46A58">
        <w:rPr>
          <w:lang w:val="en-GB"/>
        </w:rPr>
        <w:t>Policy recommendations</w:t>
      </w:r>
      <w:r w:rsidRPr="00E46A58">
        <w:rPr>
          <w:lang w:val="en-GB"/>
        </w:rPr>
        <w:t xml:space="preserve">. </w:t>
      </w:r>
      <w:r>
        <w:rPr>
          <w:lang w:val="en-GB"/>
        </w:rPr>
        <w:t>The analysis was f</w:t>
      </w:r>
      <w:r w:rsidRPr="00E46A58">
        <w:rPr>
          <w:rFonts w:eastAsiaTheme="minorEastAsia"/>
          <w:color w:val="000000" w:themeColor="text1"/>
          <w:kern w:val="24"/>
          <w:lang w:val="en-GB"/>
        </w:rPr>
        <w:t>ocus</w:t>
      </w:r>
      <w:r>
        <w:rPr>
          <w:rFonts w:eastAsiaTheme="minorEastAsia"/>
          <w:color w:val="000000" w:themeColor="text1"/>
          <w:kern w:val="24"/>
          <w:lang w:val="en-GB"/>
        </w:rPr>
        <w:t>ed mostly</w:t>
      </w:r>
      <w:r w:rsidRPr="00E46A58">
        <w:rPr>
          <w:rFonts w:eastAsiaTheme="minorEastAsia"/>
          <w:color w:val="000000" w:themeColor="text1"/>
          <w:kern w:val="24"/>
          <w:lang w:val="en-GB"/>
        </w:rPr>
        <w:t xml:space="preserve"> on industrial production</w:t>
      </w:r>
      <w:r>
        <w:rPr>
          <w:rFonts w:eastAsiaTheme="minorEastAsia"/>
          <w:color w:val="000000" w:themeColor="text1"/>
          <w:kern w:val="24"/>
          <w:lang w:val="en-GB"/>
        </w:rPr>
        <w:t xml:space="preserve">. It was demonstrated that there is a significant </w:t>
      </w:r>
      <w:r>
        <w:rPr>
          <w:rFonts w:eastAsiaTheme="minorEastAsia"/>
          <w:color w:val="000000" w:themeColor="text1"/>
          <w:kern w:val="24"/>
          <w:lang w:val="en-GB"/>
        </w:rPr>
        <w:lastRenderedPageBreak/>
        <w:t>d</w:t>
      </w:r>
      <w:r w:rsidRPr="00E46A58">
        <w:rPr>
          <w:rFonts w:eastAsiaTheme="minorEastAsia"/>
          <w:color w:val="000000" w:themeColor="text1"/>
          <w:kern w:val="24"/>
          <w:lang w:val="en-GB"/>
        </w:rPr>
        <w:t>ependence on imports of raw materials</w:t>
      </w:r>
      <w:r>
        <w:rPr>
          <w:rFonts w:eastAsiaTheme="minorEastAsia"/>
          <w:color w:val="000000" w:themeColor="text1"/>
          <w:kern w:val="24"/>
          <w:lang w:val="en-GB"/>
        </w:rPr>
        <w:t>. There have been i</w:t>
      </w:r>
      <w:r w:rsidRPr="00E46A58">
        <w:rPr>
          <w:rFonts w:eastAsiaTheme="minorEastAsia"/>
          <w:color w:val="000000" w:themeColor="text1"/>
          <w:kern w:val="24"/>
          <w:lang w:val="en-GB"/>
        </w:rPr>
        <w:t>mprovements in materials management and efficiency</w:t>
      </w:r>
      <w:r>
        <w:rPr>
          <w:rFonts w:eastAsiaTheme="minorEastAsia"/>
          <w:color w:val="000000" w:themeColor="text1"/>
          <w:kern w:val="24"/>
          <w:lang w:val="en-GB"/>
        </w:rPr>
        <w:t>, h</w:t>
      </w:r>
      <w:r w:rsidRPr="00E46A58">
        <w:rPr>
          <w:rFonts w:eastAsiaTheme="minorEastAsia"/>
          <w:color w:val="000000" w:themeColor="text1"/>
          <w:kern w:val="24"/>
          <w:lang w:val="en-GB"/>
        </w:rPr>
        <w:t xml:space="preserve">owever it is </w:t>
      </w:r>
      <w:r w:rsidRPr="00E46A58">
        <w:rPr>
          <w:rFonts w:eastAsiaTheme="minorEastAsia"/>
          <w:color w:val="000000" w:themeColor="text1"/>
          <w:kern w:val="24"/>
          <w:lang w:val="en-GB"/>
        </w:rPr>
        <w:t xml:space="preserve">still below </w:t>
      </w:r>
      <w:r w:rsidRPr="00E46A58">
        <w:rPr>
          <w:rFonts w:eastAsiaTheme="minorEastAsia"/>
          <w:color w:val="000000" w:themeColor="text1"/>
          <w:kern w:val="24"/>
          <w:lang w:val="en-GB"/>
        </w:rPr>
        <w:t xml:space="preserve">the </w:t>
      </w:r>
      <w:r w:rsidRPr="00E46A58">
        <w:rPr>
          <w:rFonts w:eastAsiaTheme="minorEastAsia"/>
          <w:color w:val="000000" w:themeColor="text1"/>
          <w:kern w:val="24"/>
          <w:lang w:val="en-GB"/>
        </w:rPr>
        <w:t>EU average</w:t>
      </w:r>
      <w:r w:rsidRPr="00E46A58">
        <w:rPr>
          <w:rFonts w:eastAsiaTheme="minorEastAsia"/>
          <w:color w:val="000000" w:themeColor="text1"/>
          <w:kern w:val="24"/>
          <w:lang w:val="en-GB"/>
        </w:rPr>
        <w:t xml:space="preserve">. </w:t>
      </w:r>
      <w:r>
        <w:rPr>
          <w:rFonts w:eastAsiaTheme="minorEastAsia"/>
          <w:color w:val="000000" w:themeColor="text1"/>
          <w:kern w:val="24"/>
          <w:lang w:val="en-GB"/>
        </w:rPr>
        <w:t>There were</w:t>
      </w:r>
      <w:r w:rsidR="00F565C2">
        <w:rPr>
          <w:rFonts w:eastAsiaTheme="minorEastAsia"/>
          <w:color w:val="000000" w:themeColor="text1"/>
          <w:kern w:val="24"/>
          <w:lang w:val="en-GB"/>
        </w:rPr>
        <w:t xml:space="preserve"> analysed</w:t>
      </w:r>
      <w:r>
        <w:rPr>
          <w:rFonts w:eastAsiaTheme="minorEastAsia"/>
          <w:color w:val="000000" w:themeColor="text1"/>
          <w:kern w:val="24"/>
          <w:lang w:val="en-GB"/>
        </w:rPr>
        <w:t xml:space="preserve"> </w:t>
      </w:r>
      <w:r w:rsidR="00F565C2">
        <w:rPr>
          <w:rFonts w:eastAsiaTheme="minorEastAsia"/>
          <w:color w:val="000000" w:themeColor="text1"/>
          <w:kern w:val="24"/>
          <w:lang w:val="en-GB"/>
        </w:rPr>
        <w:t xml:space="preserve">16 </w:t>
      </w:r>
      <w:r w:rsidR="00F565C2" w:rsidRPr="00F565C2">
        <w:rPr>
          <w:rFonts w:eastAsiaTheme="minorEastAsia"/>
          <w:color w:val="000000" w:themeColor="text1"/>
          <w:kern w:val="24"/>
          <w:lang w:val="en-GB"/>
        </w:rPr>
        <w:t>selected</w:t>
      </w:r>
      <w:r w:rsidRPr="00F565C2">
        <w:rPr>
          <w:rFonts w:eastAsiaTheme="minorEastAsia"/>
          <w:color w:val="000000" w:themeColor="text1"/>
          <w:kern w:val="24"/>
          <w:lang w:val="en-GB"/>
        </w:rPr>
        <w:t xml:space="preserve"> </w:t>
      </w:r>
      <w:r w:rsidR="00F565C2" w:rsidRPr="00F565C2">
        <w:rPr>
          <w:rFonts w:eastAsiaTheme="minorEastAsia"/>
          <w:color w:val="000000" w:themeColor="text1"/>
          <w:kern w:val="24"/>
          <w:lang w:val="en-GB"/>
        </w:rPr>
        <w:t xml:space="preserve">waste </w:t>
      </w:r>
      <w:r w:rsidRPr="00F565C2">
        <w:rPr>
          <w:rFonts w:eastAsiaTheme="minorEastAsia"/>
          <w:color w:val="000000" w:themeColor="text1"/>
          <w:kern w:val="24"/>
          <w:lang w:val="en-GB"/>
        </w:rPr>
        <w:t>streams</w:t>
      </w:r>
      <w:r w:rsidR="00F565C2" w:rsidRPr="00F565C2">
        <w:rPr>
          <w:rFonts w:eastAsiaTheme="minorEastAsia"/>
          <w:color w:val="000000" w:themeColor="text1"/>
          <w:kern w:val="24"/>
          <w:lang w:val="en-GB"/>
        </w:rPr>
        <w:t>, were a detailed analysis was conducted in 5 priority waste among them. [</w:t>
      </w:r>
      <w:r w:rsidR="00F565C2" w:rsidRPr="00F565C2">
        <w:rPr>
          <w:rFonts w:eastAsiaTheme="minorEastAsia"/>
          <w:color w:val="000000" w:themeColor="text1"/>
          <w:kern w:val="24"/>
          <w:lang w:val="en-GB"/>
        </w:rPr>
        <w:t>Residual municipal solid waste</w:t>
      </w:r>
      <w:r w:rsidR="00F565C2">
        <w:rPr>
          <w:rFonts w:eastAsiaTheme="minorEastAsia"/>
          <w:color w:val="000000" w:themeColor="text1"/>
          <w:kern w:val="24"/>
          <w:lang w:val="en-GB"/>
        </w:rPr>
        <w:t xml:space="preserve">, </w:t>
      </w:r>
      <w:r w:rsidR="00F565C2" w:rsidRPr="00F565C2">
        <w:rPr>
          <w:rFonts w:eastAsiaTheme="minorEastAsia"/>
          <w:color w:val="000000" w:themeColor="text1"/>
          <w:kern w:val="24"/>
          <w:lang w:val="en-GB"/>
        </w:rPr>
        <w:t>Plastics</w:t>
      </w:r>
      <w:r w:rsidR="00F565C2">
        <w:rPr>
          <w:rFonts w:eastAsiaTheme="minorEastAsia"/>
          <w:color w:val="000000" w:themeColor="text1"/>
          <w:kern w:val="24"/>
          <w:lang w:val="en-GB"/>
        </w:rPr>
        <w:t xml:space="preserve">, </w:t>
      </w:r>
      <w:r w:rsidR="00F565C2" w:rsidRPr="00F565C2">
        <w:rPr>
          <w:rFonts w:eastAsiaTheme="minorEastAsia"/>
          <w:color w:val="000000" w:themeColor="text1"/>
          <w:kern w:val="24"/>
          <w:lang w:val="en-GB"/>
        </w:rPr>
        <w:t>Construction and demolition waste</w:t>
      </w:r>
      <w:r w:rsidR="00F565C2">
        <w:rPr>
          <w:rFonts w:eastAsiaTheme="minorEastAsia"/>
          <w:color w:val="000000" w:themeColor="text1"/>
          <w:kern w:val="24"/>
          <w:lang w:val="en-GB"/>
        </w:rPr>
        <w:t xml:space="preserve">, </w:t>
      </w:r>
      <w:r w:rsidR="00F565C2" w:rsidRPr="00F565C2">
        <w:rPr>
          <w:rFonts w:eastAsiaTheme="minorEastAsia"/>
          <w:color w:val="000000" w:themeColor="text1"/>
          <w:kern w:val="24"/>
          <w:lang w:val="en-GB"/>
        </w:rPr>
        <w:t>Organic waste</w:t>
      </w:r>
      <w:r w:rsidR="00F565C2">
        <w:rPr>
          <w:rFonts w:eastAsiaTheme="minorEastAsia"/>
          <w:color w:val="000000" w:themeColor="text1"/>
          <w:kern w:val="24"/>
          <w:lang w:val="en-GB"/>
        </w:rPr>
        <w:t xml:space="preserve"> and </w:t>
      </w:r>
      <w:r w:rsidR="00F565C2" w:rsidRPr="00F565C2">
        <w:rPr>
          <w:rFonts w:eastAsiaTheme="minorEastAsia"/>
          <w:color w:val="000000" w:themeColor="text1"/>
          <w:kern w:val="24"/>
          <w:lang w:val="en-GB"/>
        </w:rPr>
        <w:t>Hazardous waste</w:t>
      </w:r>
      <w:r w:rsidR="00F565C2" w:rsidRPr="00F565C2">
        <w:rPr>
          <w:rFonts w:eastAsiaTheme="minorEastAsia"/>
          <w:color w:val="000000" w:themeColor="text1"/>
          <w:kern w:val="24"/>
          <w:lang w:val="en-GB"/>
        </w:rPr>
        <w:t xml:space="preserve">].  The streams identification was based on: a/ </w:t>
      </w:r>
      <w:r w:rsidR="00F565C2" w:rsidRPr="00F565C2">
        <w:t xml:space="preserve">a </w:t>
      </w:r>
      <w:r w:rsidRPr="00F565C2">
        <w:rPr>
          <w:rFonts w:eastAsiaTheme="minorEastAsia"/>
          <w:color w:val="000000" w:themeColor="text1"/>
          <w:kern w:val="24"/>
          <w:lang w:val="en-GB"/>
        </w:rPr>
        <w:t>Waste Management Plan</w:t>
      </w:r>
      <w:r w:rsidR="00F565C2" w:rsidRPr="00F565C2">
        <w:rPr>
          <w:rFonts w:eastAsiaTheme="minorEastAsia"/>
          <w:color w:val="000000" w:themeColor="text1"/>
          <w:kern w:val="24"/>
          <w:lang w:val="en-GB"/>
        </w:rPr>
        <w:t xml:space="preserve"> and b/ a </w:t>
      </w:r>
      <w:r w:rsidRPr="00F565C2">
        <w:rPr>
          <w:rFonts w:eastAsiaTheme="minorEastAsia"/>
          <w:color w:val="000000" w:themeColor="text1"/>
          <w:kern w:val="24"/>
          <w:lang w:val="en-GB"/>
        </w:rPr>
        <w:t>Secondary Raw Materials Policy</w:t>
      </w:r>
      <w:r w:rsidR="00F565C2" w:rsidRPr="00F565C2">
        <w:rPr>
          <w:rFonts w:eastAsiaTheme="minorEastAsia"/>
          <w:color w:val="000000" w:themeColor="text1"/>
          <w:kern w:val="24"/>
          <w:lang w:val="en-GB"/>
        </w:rPr>
        <w:t xml:space="preserve">. Finally, the criteria of the analysis were </w:t>
      </w:r>
      <w:r w:rsidR="00F565C2">
        <w:rPr>
          <w:rFonts w:eastAsiaTheme="minorEastAsia"/>
          <w:color w:val="000000" w:themeColor="text1"/>
          <w:kern w:val="24"/>
          <w:lang w:val="en-GB"/>
        </w:rPr>
        <w:t xml:space="preserve">a/ </w:t>
      </w:r>
      <w:r w:rsidR="00F565C2" w:rsidRPr="00F565C2">
        <w:rPr>
          <w:rFonts w:eastAsiaTheme="minorEastAsia"/>
          <w:color w:val="000000" w:themeColor="text1"/>
          <w:kern w:val="24"/>
          <w:lang w:val="en-GB"/>
        </w:rPr>
        <w:t>Potential for improvement</w:t>
      </w:r>
      <w:r w:rsidR="00F565C2">
        <w:rPr>
          <w:rFonts w:eastAsiaTheme="minorEastAsia"/>
          <w:color w:val="000000" w:themeColor="text1"/>
          <w:kern w:val="24"/>
          <w:lang w:val="en-GB"/>
        </w:rPr>
        <w:t xml:space="preserve">, b/ </w:t>
      </w:r>
      <w:r w:rsidR="00F565C2" w:rsidRPr="00F565C2">
        <w:rPr>
          <w:rFonts w:eastAsiaTheme="minorEastAsia"/>
          <w:color w:val="000000" w:themeColor="text1"/>
          <w:kern w:val="24"/>
          <w:lang w:val="en-GB"/>
        </w:rPr>
        <w:t>Waste stream intensity</w:t>
      </w:r>
      <w:r w:rsidR="00F565C2" w:rsidRPr="00F565C2">
        <w:rPr>
          <w:rFonts w:eastAsiaTheme="minorEastAsia"/>
          <w:color w:val="000000" w:themeColor="text1"/>
          <w:kern w:val="24"/>
          <w:lang w:val="en-GB"/>
        </w:rPr>
        <w:t xml:space="preserve"> and c/ </w:t>
      </w:r>
      <w:r w:rsidR="00F565C2" w:rsidRPr="00F565C2">
        <w:rPr>
          <w:rFonts w:eastAsiaTheme="minorEastAsia"/>
          <w:color w:val="000000" w:themeColor="text1"/>
          <w:kern w:val="24"/>
          <w:lang w:val="en-GB"/>
        </w:rPr>
        <w:t>Environmental impact</w:t>
      </w:r>
      <w:r w:rsidR="00F565C2" w:rsidRPr="00F565C2">
        <w:rPr>
          <w:rFonts w:eastAsiaTheme="minorEastAsia"/>
          <w:color w:val="000000" w:themeColor="text1"/>
          <w:kern w:val="24"/>
          <w:lang w:val="en-GB"/>
        </w:rPr>
        <w:t xml:space="preserve">. </w:t>
      </w:r>
      <w:r w:rsidR="00F565C2" w:rsidRPr="00F565C2">
        <w:t xml:space="preserve">For each of the cases were presented: </w:t>
      </w:r>
      <w:r w:rsidR="00F565C2">
        <w:t xml:space="preserve">a/ </w:t>
      </w:r>
      <w:r w:rsidR="00F565C2" w:rsidRPr="00F565C2">
        <w:rPr>
          <w:rFonts w:eastAsiaTheme="minorEastAsia"/>
          <w:color w:val="000000" w:themeColor="text1"/>
          <w:kern w:val="24"/>
          <w:lang w:val="en-GB"/>
        </w:rPr>
        <w:t>State of the art – current situation (amount, treatment); trends; policies, objectives and targets</w:t>
      </w:r>
      <w:r w:rsidR="00F565C2">
        <w:rPr>
          <w:rFonts w:eastAsiaTheme="minorEastAsia"/>
          <w:color w:val="000000" w:themeColor="text1"/>
          <w:kern w:val="24"/>
          <w:lang w:val="en-GB"/>
        </w:rPr>
        <w:t xml:space="preserve">, b/ </w:t>
      </w:r>
      <w:r w:rsidR="00F565C2" w:rsidRPr="00F565C2">
        <w:rPr>
          <w:rFonts w:eastAsiaTheme="minorEastAsia"/>
          <w:color w:val="000000" w:themeColor="text1"/>
          <w:kern w:val="24"/>
          <w:lang w:val="en-GB"/>
        </w:rPr>
        <w:t>Circular vision 2040 – short vision of desirable future development</w:t>
      </w:r>
      <w:r w:rsidR="00F565C2">
        <w:rPr>
          <w:rFonts w:eastAsiaTheme="minorEastAsia"/>
          <w:color w:val="000000" w:themeColor="text1"/>
          <w:kern w:val="24"/>
          <w:lang w:val="en-GB"/>
        </w:rPr>
        <w:t xml:space="preserve">, c/ </w:t>
      </w:r>
      <w:r w:rsidR="00F565C2" w:rsidRPr="00F565C2">
        <w:rPr>
          <w:rFonts w:eastAsiaTheme="minorEastAsia"/>
          <w:color w:val="000000" w:themeColor="text1"/>
          <w:kern w:val="24"/>
          <w:lang w:val="en-GB"/>
        </w:rPr>
        <w:t>Gap analysis – gaps between the current situation and the vision / existing targets; drivers and barriers</w:t>
      </w:r>
      <w:r w:rsidR="00F565C2">
        <w:rPr>
          <w:rFonts w:eastAsiaTheme="minorEastAsia"/>
          <w:color w:val="000000" w:themeColor="text1"/>
          <w:kern w:val="24"/>
          <w:lang w:val="en-GB"/>
        </w:rPr>
        <w:t xml:space="preserve"> and d/ </w:t>
      </w:r>
      <w:r w:rsidR="00F565C2" w:rsidRPr="00F565C2">
        <w:rPr>
          <w:rFonts w:eastAsiaTheme="minorEastAsia"/>
          <w:color w:val="000000" w:themeColor="text1"/>
          <w:kern w:val="24"/>
          <w:lang w:val="en-GB"/>
        </w:rPr>
        <w:t>Policy recommendations – measures and instruments</w:t>
      </w:r>
      <w:r w:rsidR="00F565C2">
        <w:rPr>
          <w:rFonts w:eastAsiaTheme="minorEastAsia"/>
          <w:color w:val="000000" w:themeColor="text1"/>
          <w:kern w:val="24"/>
          <w:lang w:val="en-GB"/>
        </w:rPr>
        <w:t xml:space="preserve"> (general and specific). </w:t>
      </w:r>
    </w:p>
    <w:p w:rsidR="00F565C2" w:rsidRPr="00F565C2" w:rsidRDefault="00F565C2" w:rsidP="00682670">
      <w:pPr>
        <w:pStyle w:val="NormalWeb"/>
        <w:numPr>
          <w:ilvl w:val="0"/>
          <w:numId w:val="1"/>
        </w:numPr>
        <w:spacing w:before="120" w:beforeAutospacing="0" w:after="0" w:afterAutospacing="0"/>
        <w:rPr>
          <w:i/>
        </w:rPr>
      </w:pPr>
      <w:r w:rsidRPr="00682670">
        <w:rPr>
          <w:b/>
        </w:rPr>
        <w:t>Co</w:t>
      </w:r>
      <w:r w:rsidRPr="00F565C2">
        <w:rPr>
          <w:b/>
        </w:rPr>
        <w:t>nsumption and Consumers Report</w:t>
      </w:r>
      <w:r w:rsidRPr="00F565C2">
        <w:t xml:space="preserve"> </w:t>
      </w:r>
      <w:r w:rsidRPr="005E778A">
        <w:rPr>
          <w:i/>
          <w:sz w:val="22"/>
          <w:szCs w:val="22"/>
        </w:rPr>
        <w:t>(</w:t>
      </w:r>
      <w:proofErr w:type="spellStart"/>
      <w:r w:rsidRPr="005E778A">
        <w:rPr>
          <w:i/>
          <w:sz w:val="22"/>
          <w:szCs w:val="22"/>
        </w:rPr>
        <w:t>Ignasi</w:t>
      </w:r>
      <w:proofErr w:type="spellEnd"/>
      <w:r w:rsidRPr="005E778A">
        <w:rPr>
          <w:i/>
          <w:sz w:val="22"/>
          <w:szCs w:val="22"/>
        </w:rPr>
        <w:t xml:space="preserve"> Puig Ventosa – OECD </w:t>
      </w:r>
      <w:r w:rsidRPr="00682670">
        <w:rPr>
          <w:i/>
          <w:sz w:val="22"/>
          <w:szCs w:val="22"/>
        </w:rPr>
        <w:t>consultant)</w:t>
      </w:r>
    </w:p>
    <w:p w:rsidR="002909FA" w:rsidRPr="00682670" w:rsidRDefault="002909FA" w:rsidP="002909FA">
      <w:pPr>
        <w:pStyle w:val="NormalWeb"/>
        <w:rPr>
          <w:bCs/>
          <w:lang w:val="en-GB"/>
        </w:rPr>
      </w:pPr>
      <w:r>
        <w:rPr>
          <w:bCs/>
          <w:lang w:val="en-GB"/>
        </w:rPr>
        <w:t>The presentation highlighted the general g</w:t>
      </w:r>
      <w:r w:rsidRPr="002909FA">
        <w:rPr>
          <w:bCs/>
          <w:lang w:val="en-GB"/>
        </w:rPr>
        <w:t>oal</w:t>
      </w:r>
      <w:r>
        <w:rPr>
          <w:bCs/>
          <w:lang w:val="en-GB"/>
        </w:rPr>
        <w:t xml:space="preserve"> and a</w:t>
      </w:r>
      <w:r w:rsidRPr="002909FA">
        <w:rPr>
          <w:bCs/>
          <w:lang w:val="en-GB"/>
        </w:rPr>
        <w:t>pproaches for structuring the discussion around circular economy</w:t>
      </w:r>
      <w:r>
        <w:rPr>
          <w:bCs/>
          <w:lang w:val="en-GB"/>
        </w:rPr>
        <w:t>. It was selected</w:t>
      </w:r>
      <w:r w:rsidRPr="002909FA">
        <w:rPr>
          <w:bCs/>
          <w:lang w:val="en-GB"/>
        </w:rPr>
        <w:t xml:space="preserve"> key consumer-relevant sectors for the circular economy</w:t>
      </w:r>
      <w:r>
        <w:rPr>
          <w:bCs/>
          <w:lang w:val="en-GB"/>
        </w:rPr>
        <w:t>. It was presented an o</w:t>
      </w:r>
      <w:r w:rsidRPr="002909FA">
        <w:rPr>
          <w:bCs/>
          <w:lang w:val="en-GB"/>
        </w:rPr>
        <w:t>verview of international practices for circular economy related to consumers</w:t>
      </w:r>
      <w:r>
        <w:rPr>
          <w:bCs/>
          <w:lang w:val="en-GB"/>
        </w:rPr>
        <w:t>, and presented the c</w:t>
      </w:r>
      <w:r w:rsidRPr="002909FA">
        <w:rPr>
          <w:bCs/>
          <w:lang w:val="en-GB"/>
        </w:rPr>
        <w:t xml:space="preserve">urrent Consumption Patterns and Consumer Behaviour Policies in the Czech Republic. Finally, a Gap analysis and policy recommendations were presented. </w:t>
      </w:r>
      <w:r>
        <w:rPr>
          <w:rFonts w:eastAsiaTheme="minorEastAsia"/>
          <w:bCs/>
          <w:iCs/>
          <w:kern w:val="24"/>
          <w:lang w:val="en-GB"/>
        </w:rPr>
        <w:t xml:space="preserve">The </w:t>
      </w:r>
      <w:r w:rsidRPr="002909FA">
        <w:rPr>
          <w:rFonts w:eastAsiaTheme="minorEastAsia"/>
          <w:bCs/>
          <w:iCs/>
          <w:kern w:val="24"/>
          <w:lang w:val="en-GB"/>
        </w:rPr>
        <w:t>report</w:t>
      </w:r>
      <w:r>
        <w:rPr>
          <w:rFonts w:eastAsiaTheme="minorEastAsia"/>
          <w:bCs/>
          <w:iCs/>
          <w:kern w:val="24"/>
          <w:lang w:val="en-GB"/>
        </w:rPr>
        <w:t xml:space="preserve">, aimed to </w:t>
      </w:r>
      <w:r w:rsidRPr="002909FA">
        <w:rPr>
          <w:rFonts w:eastAsiaTheme="minorEastAsia"/>
          <w:kern w:val="24"/>
          <w:lang w:val="en-GB"/>
        </w:rPr>
        <w:t xml:space="preserve">develop a </w:t>
      </w:r>
      <w:r w:rsidRPr="002909FA">
        <w:rPr>
          <w:rFonts w:eastAsiaTheme="minorEastAsia"/>
          <w:iCs/>
          <w:kern w:val="24"/>
          <w:lang w:val="en-GB"/>
        </w:rPr>
        <w:t xml:space="preserve">set of consumer-related CE policy recommendations </w:t>
      </w:r>
      <w:r w:rsidRPr="002909FA">
        <w:rPr>
          <w:rFonts w:eastAsiaTheme="minorEastAsia"/>
          <w:kern w:val="24"/>
          <w:lang w:val="en-GB"/>
        </w:rPr>
        <w:t xml:space="preserve">for the Czech government by: </w:t>
      </w:r>
      <w:r>
        <w:rPr>
          <w:rFonts w:eastAsiaTheme="minorEastAsia"/>
          <w:kern w:val="24"/>
          <w:lang w:val="en-GB"/>
        </w:rPr>
        <w:t xml:space="preserve">a/ </w:t>
      </w:r>
      <w:r w:rsidRPr="002909FA">
        <w:rPr>
          <w:rFonts w:eastAsiaTheme="minorEastAsia"/>
          <w:kern w:val="24"/>
          <w:lang w:val="en-GB"/>
        </w:rPr>
        <w:t>providing a stocktake of good practices for a CE to address consumer behaviour at the international level</w:t>
      </w:r>
      <w:r>
        <w:rPr>
          <w:rFonts w:eastAsiaTheme="minorEastAsia"/>
          <w:kern w:val="24"/>
          <w:lang w:val="en-GB"/>
        </w:rPr>
        <w:t xml:space="preserve">, and b/ </w:t>
      </w:r>
      <w:r w:rsidRPr="002909FA">
        <w:rPr>
          <w:rFonts w:eastAsiaTheme="minorEastAsia"/>
          <w:kern w:val="24"/>
          <w:lang w:val="en-GB"/>
        </w:rPr>
        <w:t>analysing the policies currently in place in the CR and the related gaps</w:t>
      </w:r>
      <w:r w:rsidR="00D8272F">
        <w:rPr>
          <w:rFonts w:eastAsiaTheme="minorEastAsia"/>
          <w:kern w:val="24"/>
          <w:lang w:val="en-GB"/>
        </w:rPr>
        <w:t>.</w:t>
      </w:r>
      <w:r w:rsidR="00682670">
        <w:rPr>
          <w:bCs/>
          <w:lang w:val="en-GB"/>
        </w:rPr>
        <w:t xml:space="preserve"> </w:t>
      </w:r>
      <w:r w:rsidR="00D8272F">
        <w:t xml:space="preserve">Further on, </w:t>
      </w:r>
      <w:r w:rsidR="00682670">
        <w:t>there were</w:t>
      </w:r>
      <w:r w:rsidR="00D8272F">
        <w:t xml:space="preserve"> presented </w:t>
      </w:r>
      <w:r w:rsidR="00682670">
        <w:t xml:space="preserve">a/ </w:t>
      </w:r>
      <w:r w:rsidR="00D8272F">
        <w:t xml:space="preserve">an overview of International practices </w:t>
      </w:r>
      <w:r w:rsidR="00682670">
        <w:t xml:space="preserve">for a Circular Economy related to the consumers and b/ the current consumption patterns and consumer behavior policies in the Czech Republic towards the CE. Based on those it was demonstrated a Gap analysis of 5 Gap cases where the policy was insufficient or lacking. For each of these cases, appropriate </w:t>
      </w:r>
      <w:r w:rsidR="00682670">
        <w:t xml:space="preserve">recommendations </w:t>
      </w:r>
      <w:r w:rsidR="00682670">
        <w:t>were provided.</w:t>
      </w:r>
    </w:p>
    <w:p w:rsidR="00F572A9" w:rsidRDefault="00682670" w:rsidP="00F572A9">
      <w:pPr>
        <w:pStyle w:val="NormalWeb"/>
        <w:numPr>
          <w:ilvl w:val="0"/>
          <w:numId w:val="1"/>
        </w:numPr>
        <w:rPr>
          <w:i/>
          <w:sz w:val="22"/>
          <w:szCs w:val="22"/>
        </w:rPr>
      </w:pPr>
      <w:r w:rsidRPr="00682670">
        <w:rPr>
          <w:b/>
        </w:rPr>
        <w:t>Economic Instruments Report</w:t>
      </w:r>
      <w:r>
        <w:t xml:space="preserve"> </w:t>
      </w:r>
      <w:r w:rsidRPr="00682670">
        <w:rPr>
          <w:i/>
          <w:sz w:val="22"/>
          <w:szCs w:val="22"/>
        </w:rPr>
        <w:t>(Stephen Smith – OECD consultant)</w:t>
      </w:r>
    </w:p>
    <w:p w:rsidR="00F572A9" w:rsidRPr="00F572A9" w:rsidRDefault="00FF70B7" w:rsidP="00F572A9">
      <w:pPr>
        <w:pStyle w:val="NormalWeb"/>
        <w:rPr>
          <w:i/>
          <w:sz w:val="22"/>
          <w:szCs w:val="22"/>
        </w:rPr>
      </w:pPr>
      <w:r w:rsidRPr="00F572A9">
        <w:rPr>
          <w:rFonts w:eastAsiaTheme="minorEastAsia"/>
          <w:color w:val="000000" w:themeColor="text1"/>
          <w:kern w:val="24"/>
          <w:lang w:val="en-GB"/>
        </w:rPr>
        <w:t>Economic instruments have become an established and effective part of the materials management policy landscape in EU countries.</w:t>
      </w:r>
      <w:r w:rsidR="00F572A9" w:rsidRPr="00F572A9">
        <w:rPr>
          <w:rFonts w:eastAsiaTheme="minorEastAsia"/>
          <w:color w:val="000000" w:themeColor="text1"/>
          <w:kern w:val="24"/>
          <w:lang w:val="en-GB"/>
        </w:rPr>
        <w:t xml:space="preserve"> There are forms of taxation or benefit actions with a </w:t>
      </w:r>
      <w:r w:rsidRPr="00F572A9">
        <w:rPr>
          <w:rFonts w:eastAsiaTheme="minorEastAsia"/>
          <w:color w:val="000000" w:themeColor="text1"/>
          <w:kern w:val="24"/>
          <w:lang w:val="en-GB"/>
        </w:rPr>
        <w:t>considerable scope for further development and applications part of circular economy strategies.</w:t>
      </w:r>
      <w:r w:rsidR="00F572A9" w:rsidRPr="00F572A9">
        <w:t xml:space="preserve"> </w:t>
      </w:r>
      <w:r w:rsidRPr="00F572A9">
        <w:rPr>
          <w:rFonts w:eastAsiaTheme="minorEastAsia"/>
          <w:color w:val="000000" w:themeColor="text1"/>
          <w:kern w:val="24"/>
          <w:lang w:val="en-GB"/>
        </w:rPr>
        <w:t>They can help to re-shape the "grain" of the economy towards a circular pattern of recovery, re-use and recycling, without burdening the economy with excessive costs or unrealistic rapid adjustments.</w:t>
      </w:r>
      <w:r w:rsidR="00F572A9" w:rsidRPr="00F572A9">
        <w:rPr>
          <w:rFonts w:eastAsiaTheme="minorEastAsia"/>
          <w:color w:val="000000" w:themeColor="text1"/>
          <w:kern w:val="24"/>
          <w:lang w:val="en-GB"/>
        </w:rPr>
        <w:t xml:space="preserve"> It was given an overview of available economic instruments (EIs) for the circular economy, and there were mentioned the EIs currently used in Czech Republic. Finally, a Gap analysis were presented clarifying where is there scope for more effective implementation of existing EIs, or for new EIs in the country. It was highlighted that Economic instruments</w:t>
      </w:r>
      <w:r w:rsidR="00F572A9">
        <w:rPr>
          <w:rFonts w:eastAsiaTheme="minorEastAsia"/>
          <w:color w:val="000000" w:themeColor="text1"/>
          <w:kern w:val="24"/>
          <w:lang w:val="en-GB"/>
        </w:rPr>
        <w:t xml:space="preserve"> </w:t>
      </w:r>
      <w:r w:rsidR="00F572A9" w:rsidRPr="00F572A9">
        <w:rPr>
          <w:rFonts w:eastAsiaTheme="minorEastAsia"/>
          <w:color w:val="000000" w:themeColor="text1"/>
          <w:kern w:val="24"/>
          <w:lang w:val="en-GB"/>
        </w:rPr>
        <w:t xml:space="preserve">establish </w:t>
      </w:r>
      <w:r w:rsidR="00F572A9" w:rsidRPr="00F572A9">
        <w:rPr>
          <w:rFonts w:eastAsiaTheme="minorEastAsia"/>
          <w:bCs/>
          <w:color w:val="000000" w:themeColor="text1"/>
          <w:kern w:val="24"/>
          <w:lang w:val="en-GB"/>
        </w:rPr>
        <w:t>incentives</w:t>
      </w:r>
      <w:r w:rsidR="00F572A9" w:rsidRPr="00F572A9">
        <w:rPr>
          <w:rFonts w:eastAsiaTheme="minorEastAsia"/>
          <w:color w:val="000000" w:themeColor="text1"/>
          <w:kern w:val="24"/>
          <w:lang w:val="en-GB"/>
        </w:rPr>
        <w:t xml:space="preserve"> </w:t>
      </w:r>
      <w:r w:rsidR="00F572A9" w:rsidRPr="00F572A9">
        <w:rPr>
          <w:rFonts w:eastAsiaTheme="minorEastAsia"/>
          <w:color w:val="000000" w:themeColor="text1"/>
          <w:kern w:val="24"/>
          <w:lang w:val="en-GB"/>
        </w:rPr>
        <w:t>steer</w:t>
      </w:r>
      <w:r w:rsidR="00F572A9">
        <w:rPr>
          <w:rFonts w:eastAsiaTheme="minorEastAsia"/>
          <w:color w:val="000000" w:themeColor="text1"/>
          <w:kern w:val="24"/>
          <w:lang w:val="en-GB"/>
        </w:rPr>
        <w:t>ing</w:t>
      </w:r>
      <w:r w:rsidR="00F572A9" w:rsidRPr="00F572A9">
        <w:rPr>
          <w:rFonts w:eastAsiaTheme="minorEastAsia"/>
          <w:color w:val="000000" w:themeColor="text1"/>
          <w:kern w:val="24"/>
          <w:lang w:val="en-GB"/>
        </w:rPr>
        <w:t xml:space="preserve"> decisions towards a more circular pattern of activity</w:t>
      </w:r>
      <w:r w:rsidR="00F572A9" w:rsidRPr="00F572A9">
        <w:rPr>
          <w:rFonts w:eastAsiaTheme="minorEastAsia"/>
          <w:color w:val="000000" w:themeColor="text1"/>
          <w:kern w:val="24"/>
          <w:lang w:val="en-GB"/>
        </w:rPr>
        <w:t xml:space="preserve"> </w:t>
      </w:r>
      <w:r w:rsidR="00F572A9">
        <w:rPr>
          <w:rFonts w:eastAsiaTheme="minorEastAsia"/>
          <w:color w:val="000000" w:themeColor="text1"/>
          <w:kern w:val="24"/>
          <w:lang w:val="en-GB"/>
        </w:rPr>
        <w:t xml:space="preserve">they and they </w:t>
      </w:r>
      <w:r w:rsidR="00F572A9" w:rsidRPr="00F572A9">
        <w:rPr>
          <w:rFonts w:eastAsiaTheme="minorEastAsia"/>
          <w:color w:val="000000" w:themeColor="text1"/>
          <w:kern w:val="24"/>
          <w:lang w:val="en-GB"/>
        </w:rPr>
        <w:t>encourag</w:t>
      </w:r>
      <w:r w:rsidR="00F572A9">
        <w:rPr>
          <w:rFonts w:eastAsiaTheme="minorEastAsia"/>
          <w:color w:val="000000" w:themeColor="text1"/>
          <w:kern w:val="24"/>
          <w:lang w:val="en-GB"/>
        </w:rPr>
        <w:t>e the</w:t>
      </w:r>
      <w:r w:rsidR="00F572A9" w:rsidRPr="00F572A9">
        <w:rPr>
          <w:rFonts w:eastAsiaTheme="minorEastAsia"/>
          <w:color w:val="000000" w:themeColor="text1"/>
          <w:kern w:val="24"/>
          <w:lang w:val="en-GB"/>
        </w:rPr>
        <w:t xml:space="preserve"> overall change and more vigorous innovation</w:t>
      </w:r>
      <w:r w:rsidR="00F572A9" w:rsidRPr="00F572A9">
        <w:rPr>
          <w:rFonts w:eastAsiaTheme="minorEastAsia"/>
          <w:color w:val="000000" w:themeColor="text1"/>
          <w:kern w:val="24"/>
          <w:lang w:val="en-GB"/>
        </w:rPr>
        <w:t xml:space="preserve"> </w:t>
      </w:r>
      <w:r w:rsidR="00F572A9">
        <w:rPr>
          <w:rFonts w:eastAsiaTheme="minorEastAsia"/>
          <w:color w:val="000000" w:themeColor="text1"/>
          <w:kern w:val="24"/>
          <w:lang w:val="en-GB"/>
        </w:rPr>
        <w:t xml:space="preserve">and they </w:t>
      </w:r>
      <w:r w:rsidR="00F572A9" w:rsidRPr="00F572A9">
        <w:rPr>
          <w:rFonts w:eastAsiaTheme="minorEastAsia"/>
          <w:color w:val="000000" w:themeColor="text1"/>
          <w:kern w:val="24"/>
          <w:lang w:val="en-GB"/>
        </w:rPr>
        <w:t xml:space="preserve">offer </w:t>
      </w:r>
      <w:r w:rsidR="00F572A9" w:rsidRPr="00F572A9">
        <w:rPr>
          <w:rFonts w:eastAsiaTheme="minorEastAsia"/>
          <w:bCs/>
          <w:color w:val="000000" w:themeColor="text1"/>
          <w:kern w:val="24"/>
          <w:lang w:val="en-GB"/>
        </w:rPr>
        <w:t>flexibility</w:t>
      </w:r>
      <w:r w:rsidR="00F572A9" w:rsidRPr="00F572A9">
        <w:rPr>
          <w:rFonts w:eastAsiaTheme="minorEastAsia"/>
          <w:color w:val="000000" w:themeColor="text1"/>
          <w:kern w:val="24"/>
          <w:lang w:val="en-GB"/>
        </w:rPr>
        <w:t xml:space="preserve"> </w:t>
      </w:r>
      <w:r w:rsidR="00F572A9" w:rsidRPr="00F572A9">
        <w:rPr>
          <w:rFonts w:eastAsiaTheme="minorEastAsia"/>
          <w:color w:val="000000" w:themeColor="text1"/>
          <w:kern w:val="24"/>
          <w:lang w:val="en-GB"/>
        </w:rPr>
        <w:t>at the level of the individual decision-maker means that that EIs can achieve desirable change at lower economic cost.</w:t>
      </w:r>
      <w:r w:rsidR="00F572A9">
        <w:rPr>
          <w:rFonts w:eastAsiaTheme="minorEastAsia"/>
          <w:color w:val="000000" w:themeColor="text1"/>
          <w:kern w:val="24"/>
          <w:lang w:val="en-GB"/>
        </w:rPr>
        <w:t xml:space="preserve"> </w:t>
      </w:r>
      <w:r w:rsidR="00F572A9" w:rsidRPr="00F572A9">
        <w:rPr>
          <w:rFonts w:eastAsiaTheme="minorEastAsia"/>
          <w:color w:val="000000" w:themeColor="text1"/>
          <w:kern w:val="24"/>
          <w:lang w:val="en-GB"/>
        </w:rPr>
        <w:t>Some EIs also raise revenue.</w:t>
      </w:r>
    </w:p>
    <w:p w:rsidR="004E2150" w:rsidRDefault="00F572A9" w:rsidP="00F572A9">
      <w:pPr>
        <w:jc w:val="right"/>
        <w:rPr>
          <w:rFonts w:ascii="Times New Roman" w:hAnsi="Times New Roman" w:cs="Times New Roman"/>
          <w:sz w:val="24"/>
          <w:szCs w:val="24"/>
        </w:rPr>
      </w:pPr>
      <w:r>
        <w:rPr>
          <w:rFonts w:ascii="Times New Roman" w:hAnsi="Times New Roman" w:cs="Times New Roman"/>
          <w:sz w:val="24"/>
          <w:szCs w:val="24"/>
        </w:rPr>
        <w:t>George Sakellaris</w:t>
      </w:r>
    </w:p>
    <w:p w:rsidR="00364F46" w:rsidRPr="004E2150" w:rsidRDefault="00364F46" w:rsidP="00F572A9">
      <w:pPr>
        <w:jc w:val="right"/>
        <w:rPr>
          <w:rFonts w:ascii="Times New Roman" w:hAnsi="Times New Roman" w:cs="Times New Roman"/>
          <w:sz w:val="24"/>
          <w:szCs w:val="24"/>
        </w:rPr>
      </w:pPr>
      <w:bookmarkStart w:id="0" w:name="_GoBack"/>
      <w:bookmarkEnd w:id="0"/>
    </w:p>
    <w:sectPr w:rsidR="00364F46" w:rsidRPr="004E2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016A"/>
    <w:multiLevelType w:val="hybridMultilevel"/>
    <w:tmpl w:val="D01A096A"/>
    <w:lvl w:ilvl="0" w:tplc="8DCE8ECA">
      <w:start w:val="1"/>
      <w:numFmt w:val="bullet"/>
      <w:lvlText w:val="•"/>
      <w:lvlJc w:val="left"/>
      <w:pPr>
        <w:tabs>
          <w:tab w:val="num" w:pos="720"/>
        </w:tabs>
        <w:ind w:left="720" w:hanging="360"/>
      </w:pPr>
      <w:rPr>
        <w:rFonts w:ascii="Arial" w:hAnsi="Arial" w:hint="default"/>
      </w:rPr>
    </w:lvl>
    <w:lvl w:ilvl="1" w:tplc="53C079EC" w:tentative="1">
      <w:start w:val="1"/>
      <w:numFmt w:val="bullet"/>
      <w:lvlText w:val="•"/>
      <w:lvlJc w:val="left"/>
      <w:pPr>
        <w:tabs>
          <w:tab w:val="num" w:pos="1440"/>
        </w:tabs>
        <w:ind w:left="1440" w:hanging="360"/>
      </w:pPr>
      <w:rPr>
        <w:rFonts w:ascii="Arial" w:hAnsi="Arial" w:hint="default"/>
      </w:rPr>
    </w:lvl>
    <w:lvl w:ilvl="2" w:tplc="CCDEEC40" w:tentative="1">
      <w:start w:val="1"/>
      <w:numFmt w:val="bullet"/>
      <w:lvlText w:val="•"/>
      <w:lvlJc w:val="left"/>
      <w:pPr>
        <w:tabs>
          <w:tab w:val="num" w:pos="2160"/>
        </w:tabs>
        <w:ind w:left="2160" w:hanging="360"/>
      </w:pPr>
      <w:rPr>
        <w:rFonts w:ascii="Arial" w:hAnsi="Arial" w:hint="default"/>
      </w:rPr>
    </w:lvl>
    <w:lvl w:ilvl="3" w:tplc="03E25672" w:tentative="1">
      <w:start w:val="1"/>
      <w:numFmt w:val="bullet"/>
      <w:lvlText w:val="•"/>
      <w:lvlJc w:val="left"/>
      <w:pPr>
        <w:tabs>
          <w:tab w:val="num" w:pos="2880"/>
        </w:tabs>
        <w:ind w:left="2880" w:hanging="360"/>
      </w:pPr>
      <w:rPr>
        <w:rFonts w:ascii="Arial" w:hAnsi="Arial" w:hint="default"/>
      </w:rPr>
    </w:lvl>
    <w:lvl w:ilvl="4" w:tplc="C370432A" w:tentative="1">
      <w:start w:val="1"/>
      <w:numFmt w:val="bullet"/>
      <w:lvlText w:val="•"/>
      <w:lvlJc w:val="left"/>
      <w:pPr>
        <w:tabs>
          <w:tab w:val="num" w:pos="3600"/>
        </w:tabs>
        <w:ind w:left="3600" w:hanging="360"/>
      </w:pPr>
      <w:rPr>
        <w:rFonts w:ascii="Arial" w:hAnsi="Arial" w:hint="default"/>
      </w:rPr>
    </w:lvl>
    <w:lvl w:ilvl="5" w:tplc="18A6D6A0" w:tentative="1">
      <w:start w:val="1"/>
      <w:numFmt w:val="bullet"/>
      <w:lvlText w:val="•"/>
      <w:lvlJc w:val="left"/>
      <w:pPr>
        <w:tabs>
          <w:tab w:val="num" w:pos="4320"/>
        </w:tabs>
        <w:ind w:left="4320" w:hanging="360"/>
      </w:pPr>
      <w:rPr>
        <w:rFonts w:ascii="Arial" w:hAnsi="Arial" w:hint="default"/>
      </w:rPr>
    </w:lvl>
    <w:lvl w:ilvl="6" w:tplc="4B3EDE2E" w:tentative="1">
      <w:start w:val="1"/>
      <w:numFmt w:val="bullet"/>
      <w:lvlText w:val="•"/>
      <w:lvlJc w:val="left"/>
      <w:pPr>
        <w:tabs>
          <w:tab w:val="num" w:pos="5040"/>
        </w:tabs>
        <w:ind w:left="5040" w:hanging="360"/>
      </w:pPr>
      <w:rPr>
        <w:rFonts w:ascii="Arial" w:hAnsi="Arial" w:hint="default"/>
      </w:rPr>
    </w:lvl>
    <w:lvl w:ilvl="7" w:tplc="0BA653AC" w:tentative="1">
      <w:start w:val="1"/>
      <w:numFmt w:val="bullet"/>
      <w:lvlText w:val="•"/>
      <w:lvlJc w:val="left"/>
      <w:pPr>
        <w:tabs>
          <w:tab w:val="num" w:pos="5760"/>
        </w:tabs>
        <w:ind w:left="5760" w:hanging="360"/>
      </w:pPr>
      <w:rPr>
        <w:rFonts w:ascii="Arial" w:hAnsi="Arial" w:hint="default"/>
      </w:rPr>
    </w:lvl>
    <w:lvl w:ilvl="8" w:tplc="5F443D3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EF5454"/>
    <w:multiLevelType w:val="hybridMultilevel"/>
    <w:tmpl w:val="C7D019C6"/>
    <w:lvl w:ilvl="0" w:tplc="17B4D760">
      <w:start w:val="1"/>
      <w:numFmt w:val="bullet"/>
      <w:lvlText w:val="•"/>
      <w:lvlJc w:val="left"/>
      <w:pPr>
        <w:tabs>
          <w:tab w:val="num" w:pos="720"/>
        </w:tabs>
        <w:ind w:left="720" w:hanging="360"/>
      </w:pPr>
      <w:rPr>
        <w:rFonts w:ascii="Arial" w:hAnsi="Arial" w:hint="default"/>
      </w:rPr>
    </w:lvl>
    <w:lvl w:ilvl="1" w:tplc="15782150">
      <w:numFmt w:val="bullet"/>
      <w:lvlText w:val="–"/>
      <w:lvlJc w:val="left"/>
      <w:pPr>
        <w:tabs>
          <w:tab w:val="num" w:pos="1440"/>
        </w:tabs>
        <w:ind w:left="1440" w:hanging="360"/>
      </w:pPr>
      <w:rPr>
        <w:rFonts w:ascii="Arial" w:hAnsi="Arial" w:hint="default"/>
      </w:rPr>
    </w:lvl>
    <w:lvl w:ilvl="2" w:tplc="4EC68378" w:tentative="1">
      <w:start w:val="1"/>
      <w:numFmt w:val="bullet"/>
      <w:lvlText w:val="•"/>
      <w:lvlJc w:val="left"/>
      <w:pPr>
        <w:tabs>
          <w:tab w:val="num" w:pos="2160"/>
        </w:tabs>
        <w:ind w:left="2160" w:hanging="360"/>
      </w:pPr>
      <w:rPr>
        <w:rFonts w:ascii="Arial" w:hAnsi="Arial" w:hint="default"/>
      </w:rPr>
    </w:lvl>
    <w:lvl w:ilvl="3" w:tplc="093A4EB8" w:tentative="1">
      <w:start w:val="1"/>
      <w:numFmt w:val="bullet"/>
      <w:lvlText w:val="•"/>
      <w:lvlJc w:val="left"/>
      <w:pPr>
        <w:tabs>
          <w:tab w:val="num" w:pos="2880"/>
        </w:tabs>
        <w:ind w:left="2880" w:hanging="360"/>
      </w:pPr>
      <w:rPr>
        <w:rFonts w:ascii="Arial" w:hAnsi="Arial" w:hint="default"/>
      </w:rPr>
    </w:lvl>
    <w:lvl w:ilvl="4" w:tplc="7E04FEDE" w:tentative="1">
      <w:start w:val="1"/>
      <w:numFmt w:val="bullet"/>
      <w:lvlText w:val="•"/>
      <w:lvlJc w:val="left"/>
      <w:pPr>
        <w:tabs>
          <w:tab w:val="num" w:pos="3600"/>
        </w:tabs>
        <w:ind w:left="3600" w:hanging="360"/>
      </w:pPr>
      <w:rPr>
        <w:rFonts w:ascii="Arial" w:hAnsi="Arial" w:hint="default"/>
      </w:rPr>
    </w:lvl>
    <w:lvl w:ilvl="5" w:tplc="326CC058" w:tentative="1">
      <w:start w:val="1"/>
      <w:numFmt w:val="bullet"/>
      <w:lvlText w:val="•"/>
      <w:lvlJc w:val="left"/>
      <w:pPr>
        <w:tabs>
          <w:tab w:val="num" w:pos="4320"/>
        </w:tabs>
        <w:ind w:left="4320" w:hanging="360"/>
      </w:pPr>
      <w:rPr>
        <w:rFonts w:ascii="Arial" w:hAnsi="Arial" w:hint="default"/>
      </w:rPr>
    </w:lvl>
    <w:lvl w:ilvl="6" w:tplc="6B6CAE84" w:tentative="1">
      <w:start w:val="1"/>
      <w:numFmt w:val="bullet"/>
      <w:lvlText w:val="•"/>
      <w:lvlJc w:val="left"/>
      <w:pPr>
        <w:tabs>
          <w:tab w:val="num" w:pos="5040"/>
        </w:tabs>
        <w:ind w:left="5040" w:hanging="360"/>
      </w:pPr>
      <w:rPr>
        <w:rFonts w:ascii="Arial" w:hAnsi="Arial" w:hint="default"/>
      </w:rPr>
    </w:lvl>
    <w:lvl w:ilvl="7" w:tplc="68E6A930" w:tentative="1">
      <w:start w:val="1"/>
      <w:numFmt w:val="bullet"/>
      <w:lvlText w:val="•"/>
      <w:lvlJc w:val="left"/>
      <w:pPr>
        <w:tabs>
          <w:tab w:val="num" w:pos="5760"/>
        </w:tabs>
        <w:ind w:left="5760" w:hanging="360"/>
      </w:pPr>
      <w:rPr>
        <w:rFonts w:ascii="Arial" w:hAnsi="Arial" w:hint="default"/>
      </w:rPr>
    </w:lvl>
    <w:lvl w:ilvl="8" w:tplc="01F45CF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D12971"/>
    <w:multiLevelType w:val="hybridMultilevel"/>
    <w:tmpl w:val="F7865876"/>
    <w:lvl w:ilvl="0" w:tplc="10EA293A">
      <w:start w:val="1"/>
      <w:numFmt w:val="bullet"/>
      <w:lvlText w:val=""/>
      <w:lvlJc w:val="left"/>
      <w:pPr>
        <w:tabs>
          <w:tab w:val="num" w:pos="720"/>
        </w:tabs>
        <w:ind w:left="720" w:hanging="360"/>
      </w:pPr>
      <w:rPr>
        <w:rFonts w:ascii="Wingdings" w:hAnsi="Wingdings" w:hint="default"/>
      </w:rPr>
    </w:lvl>
    <w:lvl w:ilvl="1" w:tplc="F7504902">
      <w:start w:val="1"/>
      <w:numFmt w:val="lowerRoman"/>
      <w:lvlText w:val="%2)"/>
      <w:lvlJc w:val="right"/>
      <w:pPr>
        <w:tabs>
          <w:tab w:val="num" w:pos="1440"/>
        </w:tabs>
        <w:ind w:left="1440" w:hanging="360"/>
      </w:pPr>
    </w:lvl>
    <w:lvl w:ilvl="2" w:tplc="4ACE4BE8" w:tentative="1">
      <w:start w:val="1"/>
      <w:numFmt w:val="bullet"/>
      <w:lvlText w:val=""/>
      <w:lvlJc w:val="left"/>
      <w:pPr>
        <w:tabs>
          <w:tab w:val="num" w:pos="2160"/>
        </w:tabs>
        <w:ind w:left="2160" w:hanging="360"/>
      </w:pPr>
      <w:rPr>
        <w:rFonts w:ascii="Wingdings" w:hAnsi="Wingdings" w:hint="default"/>
      </w:rPr>
    </w:lvl>
    <w:lvl w:ilvl="3" w:tplc="726C1E52" w:tentative="1">
      <w:start w:val="1"/>
      <w:numFmt w:val="bullet"/>
      <w:lvlText w:val=""/>
      <w:lvlJc w:val="left"/>
      <w:pPr>
        <w:tabs>
          <w:tab w:val="num" w:pos="2880"/>
        </w:tabs>
        <w:ind w:left="2880" w:hanging="360"/>
      </w:pPr>
      <w:rPr>
        <w:rFonts w:ascii="Wingdings" w:hAnsi="Wingdings" w:hint="default"/>
      </w:rPr>
    </w:lvl>
    <w:lvl w:ilvl="4" w:tplc="B9D492D8" w:tentative="1">
      <w:start w:val="1"/>
      <w:numFmt w:val="bullet"/>
      <w:lvlText w:val=""/>
      <w:lvlJc w:val="left"/>
      <w:pPr>
        <w:tabs>
          <w:tab w:val="num" w:pos="3600"/>
        </w:tabs>
        <w:ind w:left="3600" w:hanging="360"/>
      </w:pPr>
      <w:rPr>
        <w:rFonts w:ascii="Wingdings" w:hAnsi="Wingdings" w:hint="default"/>
      </w:rPr>
    </w:lvl>
    <w:lvl w:ilvl="5" w:tplc="DBCEED62" w:tentative="1">
      <w:start w:val="1"/>
      <w:numFmt w:val="bullet"/>
      <w:lvlText w:val=""/>
      <w:lvlJc w:val="left"/>
      <w:pPr>
        <w:tabs>
          <w:tab w:val="num" w:pos="4320"/>
        </w:tabs>
        <w:ind w:left="4320" w:hanging="360"/>
      </w:pPr>
      <w:rPr>
        <w:rFonts w:ascii="Wingdings" w:hAnsi="Wingdings" w:hint="default"/>
      </w:rPr>
    </w:lvl>
    <w:lvl w:ilvl="6" w:tplc="8D56AE30" w:tentative="1">
      <w:start w:val="1"/>
      <w:numFmt w:val="bullet"/>
      <w:lvlText w:val=""/>
      <w:lvlJc w:val="left"/>
      <w:pPr>
        <w:tabs>
          <w:tab w:val="num" w:pos="5040"/>
        </w:tabs>
        <w:ind w:left="5040" w:hanging="360"/>
      </w:pPr>
      <w:rPr>
        <w:rFonts w:ascii="Wingdings" w:hAnsi="Wingdings" w:hint="default"/>
      </w:rPr>
    </w:lvl>
    <w:lvl w:ilvl="7" w:tplc="EE20EAB8" w:tentative="1">
      <w:start w:val="1"/>
      <w:numFmt w:val="bullet"/>
      <w:lvlText w:val=""/>
      <w:lvlJc w:val="left"/>
      <w:pPr>
        <w:tabs>
          <w:tab w:val="num" w:pos="5760"/>
        </w:tabs>
        <w:ind w:left="5760" w:hanging="360"/>
      </w:pPr>
      <w:rPr>
        <w:rFonts w:ascii="Wingdings" w:hAnsi="Wingdings" w:hint="default"/>
      </w:rPr>
    </w:lvl>
    <w:lvl w:ilvl="8" w:tplc="3EBC01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AC73B6"/>
    <w:multiLevelType w:val="hybridMultilevel"/>
    <w:tmpl w:val="A756F9E0"/>
    <w:lvl w:ilvl="0" w:tplc="A41090C8">
      <w:start w:val="1"/>
      <w:numFmt w:val="bullet"/>
      <w:lvlText w:val="•"/>
      <w:lvlJc w:val="left"/>
      <w:pPr>
        <w:tabs>
          <w:tab w:val="num" w:pos="720"/>
        </w:tabs>
        <w:ind w:left="720" w:hanging="360"/>
      </w:pPr>
      <w:rPr>
        <w:rFonts w:ascii="Arial" w:hAnsi="Arial" w:hint="default"/>
      </w:rPr>
    </w:lvl>
    <w:lvl w:ilvl="1" w:tplc="ABD218D0">
      <w:start w:val="1"/>
      <w:numFmt w:val="decimal"/>
      <w:lvlText w:val="%2."/>
      <w:lvlJc w:val="left"/>
      <w:pPr>
        <w:tabs>
          <w:tab w:val="num" w:pos="1440"/>
        </w:tabs>
        <w:ind w:left="1440" w:hanging="360"/>
      </w:pPr>
    </w:lvl>
    <w:lvl w:ilvl="2" w:tplc="666483C8" w:tentative="1">
      <w:start w:val="1"/>
      <w:numFmt w:val="bullet"/>
      <w:lvlText w:val="•"/>
      <w:lvlJc w:val="left"/>
      <w:pPr>
        <w:tabs>
          <w:tab w:val="num" w:pos="2160"/>
        </w:tabs>
        <w:ind w:left="2160" w:hanging="360"/>
      </w:pPr>
      <w:rPr>
        <w:rFonts w:ascii="Arial" w:hAnsi="Arial" w:hint="default"/>
      </w:rPr>
    </w:lvl>
    <w:lvl w:ilvl="3" w:tplc="36BC3B24" w:tentative="1">
      <w:start w:val="1"/>
      <w:numFmt w:val="bullet"/>
      <w:lvlText w:val="•"/>
      <w:lvlJc w:val="left"/>
      <w:pPr>
        <w:tabs>
          <w:tab w:val="num" w:pos="2880"/>
        </w:tabs>
        <w:ind w:left="2880" w:hanging="360"/>
      </w:pPr>
      <w:rPr>
        <w:rFonts w:ascii="Arial" w:hAnsi="Arial" w:hint="default"/>
      </w:rPr>
    </w:lvl>
    <w:lvl w:ilvl="4" w:tplc="4768CEA0" w:tentative="1">
      <w:start w:val="1"/>
      <w:numFmt w:val="bullet"/>
      <w:lvlText w:val="•"/>
      <w:lvlJc w:val="left"/>
      <w:pPr>
        <w:tabs>
          <w:tab w:val="num" w:pos="3600"/>
        </w:tabs>
        <w:ind w:left="3600" w:hanging="360"/>
      </w:pPr>
      <w:rPr>
        <w:rFonts w:ascii="Arial" w:hAnsi="Arial" w:hint="default"/>
      </w:rPr>
    </w:lvl>
    <w:lvl w:ilvl="5" w:tplc="81A04F3A" w:tentative="1">
      <w:start w:val="1"/>
      <w:numFmt w:val="bullet"/>
      <w:lvlText w:val="•"/>
      <w:lvlJc w:val="left"/>
      <w:pPr>
        <w:tabs>
          <w:tab w:val="num" w:pos="4320"/>
        </w:tabs>
        <w:ind w:left="4320" w:hanging="360"/>
      </w:pPr>
      <w:rPr>
        <w:rFonts w:ascii="Arial" w:hAnsi="Arial" w:hint="default"/>
      </w:rPr>
    </w:lvl>
    <w:lvl w:ilvl="6" w:tplc="CC94CE26" w:tentative="1">
      <w:start w:val="1"/>
      <w:numFmt w:val="bullet"/>
      <w:lvlText w:val="•"/>
      <w:lvlJc w:val="left"/>
      <w:pPr>
        <w:tabs>
          <w:tab w:val="num" w:pos="5040"/>
        </w:tabs>
        <w:ind w:left="5040" w:hanging="360"/>
      </w:pPr>
      <w:rPr>
        <w:rFonts w:ascii="Arial" w:hAnsi="Arial" w:hint="default"/>
      </w:rPr>
    </w:lvl>
    <w:lvl w:ilvl="7" w:tplc="12AE0B86" w:tentative="1">
      <w:start w:val="1"/>
      <w:numFmt w:val="bullet"/>
      <w:lvlText w:val="•"/>
      <w:lvlJc w:val="left"/>
      <w:pPr>
        <w:tabs>
          <w:tab w:val="num" w:pos="5760"/>
        </w:tabs>
        <w:ind w:left="5760" w:hanging="360"/>
      </w:pPr>
      <w:rPr>
        <w:rFonts w:ascii="Arial" w:hAnsi="Arial" w:hint="default"/>
      </w:rPr>
    </w:lvl>
    <w:lvl w:ilvl="8" w:tplc="7F5692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400588A"/>
    <w:multiLevelType w:val="hybridMultilevel"/>
    <w:tmpl w:val="BF9C343C"/>
    <w:lvl w:ilvl="0" w:tplc="58C0561E">
      <w:start w:val="1"/>
      <w:numFmt w:val="bullet"/>
      <w:lvlText w:val="•"/>
      <w:lvlJc w:val="left"/>
      <w:pPr>
        <w:tabs>
          <w:tab w:val="num" w:pos="720"/>
        </w:tabs>
        <w:ind w:left="720" w:hanging="360"/>
      </w:pPr>
      <w:rPr>
        <w:rFonts w:ascii="Arial" w:hAnsi="Arial" w:hint="default"/>
      </w:rPr>
    </w:lvl>
    <w:lvl w:ilvl="1" w:tplc="55F8A640">
      <w:numFmt w:val="bullet"/>
      <w:lvlText w:val="–"/>
      <w:lvlJc w:val="left"/>
      <w:pPr>
        <w:tabs>
          <w:tab w:val="num" w:pos="1440"/>
        </w:tabs>
        <w:ind w:left="1440" w:hanging="360"/>
      </w:pPr>
      <w:rPr>
        <w:rFonts w:ascii="Arial" w:hAnsi="Arial" w:hint="default"/>
      </w:rPr>
    </w:lvl>
    <w:lvl w:ilvl="2" w:tplc="92B4A714" w:tentative="1">
      <w:start w:val="1"/>
      <w:numFmt w:val="bullet"/>
      <w:lvlText w:val="•"/>
      <w:lvlJc w:val="left"/>
      <w:pPr>
        <w:tabs>
          <w:tab w:val="num" w:pos="2160"/>
        </w:tabs>
        <w:ind w:left="2160" w:hanging="360"/>
      </w:pPr>
      <w:rPr>
        <w:rFonts w:ascii="Arial" w:hAnsi="Arial" w:hint="default"/>
      </w:rPr>
    </w:lvl>
    <w:lvl w:ilvl="3" w:tplc="2C7CE316" w:tentative="1">
      <w:start w:val="1"/>
      <w:numFmt w:val="bullet"/>
      <w:lvlText w:val="•"/>
      <w:lvlJc w:val="left"/>
      <w:pPr>
        <w:tabs>
          <w:tab w:val="num" w:pos="2880"/>
        </w:tabs>
        <w:ind w:left="2880" w:hanging="360"/>
      </w:pPr>
      <w:rPr>
        <w:rFonts w:ascii="Arial" w:hAnsi="Arial" w:hint="default"/>
      </w:rPr>
    </w:lvl>
    <w:lvl w:ilvl="4" w:tplc="57FCE6A6" w:tentative="1">
      <w:start w:val="1"/>
      <w:numFmt w:val="bullet"/>
      <w:lvlText w:val="•"/>
      <w:lvlJc w:val="left"/>
      <w:pPr>
        <w:tabs>
          <w:tab w:val="num" w:pos="3600"/>
        </w:tabs>
        <w:ind w:left="3600" w:hanging="360"/>
      </w:pPr>
      <w:rPr>
        <w:rFonts w:ascii="Arial" w:hAnsi="Arial" w:hint="default"/>
      </w:rPr>
    </w:lvl>
    <w:lvl w:ilvl="5" w:tplc="00C62DD6" w:tentative="1">
      <w:start w:val="1"/>
      <w:numFmt w:val="bullet"/>
      <w:lvlText w:val="•"/>
      <w:lvlJc w:val="left"/>
      <w:pPr>
        <w:tabs>
          <w:tab w:val="num" w:pos="4320"/>
        </w:tabs>
        <w:ind w:left="4320" w:hanging="360"/>
      </w:pPr>
      <w:rPr>
        <w:rFonts w:ascii="Arial" w:hAnsi="Arial" w:hint="default"/>
      </w:rPr>
    </w:lvl>
    <w:lvl w:ilvl="6" w:tplc="CE24D1EE" w:tentative="1">
      <w:start w:val="1"/>
      <w:numFmt w:val="bullet"/>
      <w:lvlText w:val="•"/>
      <w:lvlJc w:val="left"/>
      <w:pPr>
        <w:tabs>
          <w:tab w:val="num" w:pos="5040"/>
        </w:tabs>
        <w:ind w:left="5040" w:hanging="360"/>
      </w:pPr>
      <w:rPr>
        <w:rFonts w:ascii="Arial" w:hAnsi="Arial" w:hint="default"/>
      </w:rPr>
    </w:lvl>
    <w:lvl w:ilvl="7" w:tplc="57640C28" w:tentative="1">
      <w:start w:val="1"/>
      <w:numFmt w:val="bullet"/>
      <w:lvlText w:val="•"/>
      <w:lvlJc w:val="left"/>
      <w:pPr>
        <w:tabs>
          <w:tab w:val="num" w:pos="5760"/>
        </w:tabs>
        <w:ind w:left="5760" w:hanging="360"/>
      </w:pPr>
      <w:rPr>
        <w:rFonts w:ascii="Arial" w:hAnsi="Arial" w:hint="default"/>
      </w:rPr>
    </w:lvl>
    <w:lvl w:ilvl="8" w:tplc="B292F77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FBF155B"/>
    <w:multiLevelType w:val="hybridMultilevel"/>
    <w:tmpl w:val="D4681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C06"/>
    <w:rsid w:val="00035E3A"/>
    <w:rsid w:val="002909FA"/>
    <w:rsid w:val="00364F46"/>
    <w:rsid w:val="004E2150"/>
    <w:rsid w:val="005E778A"/>
    <w:rsid w:val="00682670"/>
    <w:rsid w:val="00881C06"/>
    <w:rsid w:val="00B5672A"/>
    <w:rsid w:val="00BE1004"/>
    <w:rsid w:val="00CF2C58"/>
    <w:rsid w:val="00D8272F"/>
    <w:rsid w:val="00E46A58"/>
    <w:rsid w:val="00F565C2"/>
    <w:rsid w:val="00F572A9"/>
    <w:rsid w:val="00FF7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5694"/>
  <w15:chartTrackingRefBased/>
  <w15:docId w15:val="{52A240D3-AB62-403B-9CB6-306ED5E5A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C06"/>
    <w:pPr>
      <w:ind w:left="720"/>
      <w:contextualSpacing/>
    </w:pPr>
  </w:style>
  <w:style w:type="paragraph" w:styleId="NormalWeb">
    <w:name w:val="Normal (Web)"/>
    <w:basedOn w:val="Normal"/>
    <w:uiPriority w:val="99"/>
    <w:unhideWhenUsed/>
    <w:rsid w:val="00E46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010564">
      <w:bodyDiv w:val="1"/>
      <w:marLeft w:val="0"/>
      <w:marRight w:val="0"/>
      <w:marTop w:val="0"/>
      <w:marBottom w:val="0"/>
      <w:divBdr>
        <w:top w:val="none" w:sz="0" w:space="0" w:color="auto"/>
        <w:left w:val="none" w:sz="0" w:space="0" w:color="auto"/>
        <w:bottom w:val="none" w:sz="0" w:space="0" w:color="auto"/>
        <w:right w:val="none" w:sz="0" w:space="0" w:color="auto"/>
      </w:divBdr>
    </w:div>
    <w:div w:id="330448911">
      <w:bodyDiv w:val="1"/>
      <w:marLeft w:val="0"/>
      <w:marRight w:val="0"/>
      <w:marTop w:val="0"/>
      <w:marBottom w:val="0"/>
      <w:divBdr>
        <w:top w:val="none" w:sz="0" w:space="0" w:color="auto"/>
        <w:left w:val="none" w:sz="0" w:space="0" w:color="auto"/>
        <w:bottom w:val="none" w:sz="0" w:space="0" w:color="auto"/>
        <w:right w:val="none" w:sz="0" w:space="0" w:color="auto"/>
      </w:divBdr>
      <w:divsChild>
        <w:div w:id="2057584661">
          <w:marLeft w:val="533"/>
          <w:marRight w:val="0"/>
          <w:marTop w:val="154"/>
          <w:marBottom w:val="0"/>
          <w:divBdr>
            <w:top w:val="none" w:sz="0" w:space="0" w:color="auto"/>
            <w:left w:val="none" w:sz="0" w:space="0" w:color="auto"/>
            <w:bottom w:val="none" w:sz="0" w:space="0" w:color="auto"/>
            <w:right w:val="none" w:sz="0" w:space="0" w:color="auto"/>
          </w:divBdr>
        </w:div>
        <w:div w:id="1928151710">
          <w:marLeft w:val="1166"/>
          <w:marRight w:val="0"/>
          <w:marTop w:val="134"/>
          <w:marBottom w:val="0"/>
          <w:divBdr>
            <w:top w:val="none" w:sz="0" w:space="0" w:color="auto"/>
            <w:left w:val="none" w:sz="0" w:space="0" w:color="auto"/>
            <w:bottom w:val="none" w:sz="0" w:space="0" w:color="auto"/>
            <w:right w:val="none" w:sz="0" w:space="0" w:color="auto"/>
          </w:divBdr>
        </w:div>
        <w:div w:id="2125225546">
          <w:marLeft w:val="1166"/>
          <w:marRight w:val="0"/>
          <w:marTop w:val="134"/>
          <w:marBottom w:val="0"/>
          <w:divBdr>
            <w:top w:val="none" w:sz="0" w:space="0" w:color="auto"/>
            <w:left w:val="none" w:sz="0" w:space="0" w:color="auto"/>
            <w:bottom w:val="none" w:sz="0" w:space="0" w:color="auto"/>
            <w:right w:val="none" w:sz="0" w:space="0" w:color="auto"/>
          </w:divBdr>
        </w:div>
        <w:div w:id="1227765315">
          <w:marLeft w:val="533"/>
          <w:marRight w:val="0"/>
          <w:marTop w:val="154"/>
          <w:marBottom w:val="0"/>
          <w:divBdr>
            <w:top w:val="none" w:sz="0" w:space="0" w:color="auto"/>
            <w:left w:val="none" w:sz="0" w:space="0" w:color="auto"/>
            <w:bottom w:val="none" w:sz="0" w:space="0" w:color="auto"/>
            <w:right w:val="none" w:sz="0" w:space="0" w:color="auto"/>
          </w:divBdr>
        </w:div>
        <w:div w:id="1794903133">
          <w:marLeft w:val="533"/>
          <w:marRight w:val="0"/>
          <w:marTop w:val="154"/>
          <w:marBottom w:val="0"/>
          <w:divBdr>
            <w:top w:val="none" w:sz="0" w:space="0" w:color="auto"/>
            <w:left w:val="none" w:sz="0" w:space="0" w:color="auto"/>
            <w:bottom w:val="none" w:sz="0" w:space="0" w:color="auto"/>
            <w:right w:val="none" w:sz="0" w:space="0" w:color="auto"/>
          </w:divBdr>
        </w:div>
        <w:div w:id="204417928">
          <w:marLeft w:val="533"/>
          <w:marRight w:val="0"/>
          <w:marTop w:val="154"/>
          <w:marBottom w:val="0"/>
          <w:divBdr>
            <w:top w:val="none" w:sz="0" w:space="0" w:color="auto"/>
            <w:left w:val="none" w:sz="0" w:space="0" w:color="auto"/>
            <w:bottom w:val="none" w:sz="0" w:space="0" w:color="auto"/>
            <w:right w:val="none" w:sz="0" w:space="0" w:color="auto"/>
          </w:divBdr>
        </w:div>
        <w:div w:id="2034457940">
          <w:marLeft w:val="1166"/>
          <w:marRight w:val="0"/>
          <w:marTop w:val="134"/>
          <w:marBottom w:val="0"/>
          <w:divBdr>
            <w:top w:val="none" w:sz="0" w:space="0" w:color="auto"/>
            <w:left w:val="none" w:sz="0" w:space="0" w:color="auto"/>
            <w:bottom w:val="none" w:sz="0" w:space="0" w:color="auto"/>
            <w:right w:val="none" w:sz="0" w:space="0" w:color="auto"/>
          </w:divBdr>
        </w:div>
      </w:divsChild>
    </w:div>
    <w:div w:id="374931832">
      <w:bodyDiv w:val="1"/>
      <w:marLeft w:val="0"/>
      <w:marRight w:val="0"/>
      <w:marTop w:val="0"/>
      <w:marBottom w:val="0"/>
      <w:divBdr>
        <w:top w:val="none" w:sz="0" w:space="0" w:color="auto"/>
        <w:left w:val="none" w:sz="0" w:space="0" w:color="auto"/>
        <w:bottom w:val="none" w:sz="0" w:space="0" w:color="auto"/>
        <w:right w:val="none" w:sz="0" w:space="0" w:color="auto"/>
      </w:divBdr>
    </w:div>
    <w:div w:id="461850631">
      <w:bodyDiv w:val="1"/>
      <w:marLeft w:val="0"/>
      <w:marRight w:val="0"/>
      <w:marTop w:val="0"/>
      <w:marBottom w:val="0"/>
      <w:divBdr>
        <w:top w:val="none" w:sz="0" w:space="0" w:color="auto"/>
        <w:left w:val="none" w:sz="0" w:space="0" w:color="auto"/>
        <w:bottom w:val="none" w:sz="0" w:space="0" w:color="auto"/>
        <w:right w:val="none" w:sz="0" w:space="0" w:color="auto"/>
      </w:divBdr>
    </w:div>
    <w:div w:id="495609944">
      <w:bodyDiv w:val="1"/>
      <w:marLeft w:val="0"/>
      <w:marRight w:val="0"/>
      <w:marTop w:val="0"/>
      <w:marBottom w:val="0"/>
      <w:divBdr>
        <w:top w:val="none" w:sz="0" w:space="0" w:color="auto"/>
        <w:left w:val="none" w:sz="0" w:space="0" w:color="auto"/>
        <w:bottom w:val="none" w:sz="0" w:space="0" w:color="auto"/>
        <w:right w:val="none" w:sz="0" w:space="0" w:color="auto"/>
      </w:divBdr>
      <w:divsChild>
        <w:div w:id="2096435115">
          <w:marLeft w:val="547"/>
          <w:marRight w:val="0"/>
          <w:marTop w:val="0"/>
          <w:marBottom w:val="0"/>
          <w:divBdr>
            <w:top w:val="none" w:sz="0" w:space="0" w:color="auto"/>
            <w:left w:val="none" w:sz="0" w:space="0" w:color="auto"/>
            <w:bottom w:val="none" w:sz="0" w:space="0" w:color="auto"/>
            <w:right w:val="none" w:sz="0" w:space="0" w:color="auto"/>
          </w:divBdr>
        </w:div>
        <w:div w:id="1916356013">
          <w:marLeft w:val="1526"/>
          <w:marRight w:val="0"/>
          <w:marTop w:val="0"/>
          <w:marBottom w:val="0"/>
          <w:divBdr>
            <w:top w:val="none" w:sz="0" w:space="0" w:color="auto"/>
            <w:left w:val="none" w:sz="0" w:space="0" w:color="auto"/>
            <w:bottom w:val="none" w:sz="0" w:space="0" w:color="auto"/>
            <w:right w:val="none" w:sz="0" w:space="0" w:color="auto"/>
          </w:divBdr>
        </w:div>
        <w:div w:id="2035105574">
          <w:marLeft w:val="1526"/>
          <w:marRight w:val="0"/>
          <w:marTop w:val="0"/>
          <w:marBottom w:val="0"/>
          <w:divBdr>
            <w:top w:val="none" w:sz="0" w:space="0" w:color="auto"/>
            <w:left w:val="none" w:sz="0" w:space="0" w:color="auto"/>
            <w:bottom w:val="none" w:sz="0" w:space="0" w:color="auto"/>
            <w:right w:val="none" w:sz="0" w:space="0" w:color="auto"/>
          </w:divBdr>
        </w:div>
      </w:divsChild>
    </w:div>
    <w:div w:id="511724368">
      <w:bodyDiv w:val="1"/>
      <w:marLeft w:val="0"/>
      <w:marRight w:val="0"/>
      <w:marTop w:val="0"/>
      <w:marBottom w:val="0"/>
      <w:divBdr>
        <w:top w:val="none" w:sz="0" w:space="0" w:color="auto"/>
        <w:left w:val="none" w:sz="0" w:space="0" w:color="auto"/>
        <w:bottom w:val="none" w:sz="0" w:space="0" w:color="auto"/>
        <w:right w:val="none" w:sz="0" w:space="0" w:color="auto"/>
      </w:divBdr>
      <w:divsChild>
        <w:div w:id="2137671459">
          <w:marLeft w:val="533"/>
          <w:marRight w:val="0"/>
          <w:marTop w:val="154"/>
          <w:marBottom w:val="0"/>
          <w:divBdr>
            <w:top w:val="none" w:sz="0" w:space="0" w:color="auto"/>
            <w:left w:val="none" w:sz="0" w:space="0" w:color="auto"/>
            <w:bottom w:val="none" w:sz="0" w:space="0" w:color="auto"/>
            <w:right w:val="none" w:sz="0" w:space="0" w:color="auto"/>
          </w:divBdr>
        </w:div>
        <w:div w:id="954942043">
          <w:marLeft w:val="1440"/>
          <w:marRight w:val="0"/>
          <w:marTop w:val="360"/>
          <w:marBottom w:val="0"/>
          <w:divBdr>
            <w:top w:val="none" w:sz="0" w:space="0" w:color="auto"/>
            <w:left w:val="none" w:sz="0" w:space="0" w:color="auto"/>
            <w:bottom w:val="none" w:sz="0" w:space="0" w:color="auto"/>
            <w:right w:val="none" w:sz="0" w:space="0" w:color="auto"/>
          </w:divBdr>
        </w:div>
        <w:div w:id="1302269889">
          <w:marLeft w:val="1440"/>
          <w:marRight w:val="0"/>
          <w:marTop w:val="134"/>
          <w:marBottom w:val="0"/>
          <w:divBdr>
            <w:top w:val="none" w:sz="0" w:space="0" w:color="auto"/>
            <w:left w:val="none" w:sz="0" w:space="0" w:color="auto"/>
            <w:bottom w:val="none" w:sz="0" w:space="0" w:color="auto"/>
            <w:right w:val="none" w:sz="0" w:space="0" w:color="auto"/>
          </w:divBdr>
        </w:div>
        <w:div w:id="1060056581">
          <w:marLeft w:val="1440"/>
          <w:marRight w:val="0"/>
          <w:marTop w:val="134"/>
          <w:marBottom w:val="0"/>
          <w:divBdr>
            <w:top w:val="none" w:sz="0" w:space="0" w:color="auto"/>
            <w:left w:val="none" w:sz="0" w:space="0" w:color="auto"/>
            <w:bottom w:val="none" w:sz="0" w:space="0" w:color="auto"/>
            <w:right w:val="none" w:sz="0" w:space="0" w:color="auto"/>
          </w:divBdr>
        </w:div>
      </w:divsChild>
    </w:div>
    <w:div w:id="686980895">
      <w:bodyDiv w:val="1"/>
      <w:marLeft w:val="0"/>
      <w:marRight w:val="0"/>
      <w:marTop w:val="0"/>
      <w:marBottom w:val="0"/>
      <w:divBdr>
        <w:top w:val="none" w:sz="0" w:space="0" w:color="auto"/>
        <w:left w:val="none" w:sz="0" w:space="0" w:color="auto"/>
        <w:bottom w:val="none" w:sz="0" w:space="0" w:color="auto"/>
        <w:right w:val="none" w:sz="0" w:space="0" w:color="auto"/>
      </w:divBdr>
      <w:divsChild>
        <w:div w:id="30688980">
          <w:marLeft w:val="533"/>
          <w:marRight w:val="0"/>
          <w:marTop w:val="154"/>
          <w:marBottom w:val="0"/>
          <w:divBdr>
            <w:top w:val="none" w:sz="0" w:space="0" w:color="auto"/>
            <w:left w:val="none" w:sz="0" w:space="0" w:color="auto"/>
            <w:bottom w:val="none" w:sz="0" w:space="0" w:color="auto"/>
            <w:right w:val="none" w:sz="0" w:space="0" w:color="auto"/>
          </w:divBdr>
        </w:div>
        <w:div w:id="1799647312">
          <w:marLeft w:val="533"/>
          <w:marRight w:val="0"/>
          <w:marTop w:val="154"/>
          <w:marBottom w:val="0"/>
          <w:divBdr>
            <w:top w:val="none" w:sz="0" w:space="0" w:color="auto"/>
            <w:left w:val="none" w:sz="0" w:space="0" w:color="auto"/>
            <w:bottom w:val="none" w:sz="0" w:space="0" w:color="auto"/>
            <w:right w:val="none" w:sz="0" w:space="0" w:color="auto"/>
          </w:divBdr>
        </w:div>
        <w:div w:id="1413427122">
          <w:marLeft w:val="533"/>
          <w:marRight w:val="0"/>
          <w:marTop w:val="154"/>
          <w:marBottom w:val="0"/>
          <w:divBdr>
            <w:top w:val="none" w:sz="0" w:space="0" w:color="auto"/>
            <w:left w:val="none" w:sz="0" w:space="0" w:color="auto"/>
            <w:bottom w:val="none" w:sz="0" w:space="0" w:color="auto"/>
            <w:right w:val="none" w:sz="0" w:space="0" w:color="auto"/>
          </w:divBdr>
        </w:div>
        <w:div w:id="1891771799">
          <w:marLeft w:val="533"/>
          <w:marRight w:val="0"/>
          <w:marTop w:val="154"/>
          <w:marBottom w:val="0"/>
          <w:divBdr>
            <w:top w:val="none" w:sz="0" w:space="0" w:color="auto"/>
            <w:left w:val="none" w:sz="0" w:space="0" w:color="auto"/>
            <w:bottom w:val="none" w:sz="0" w:space="0" w:color="auto"/>
            <w:right w:val="none" w:sz="0" w:space="0" w:color="auto"/>
          </w:divBdr>
        </w:div>
      </w:divsChild>
    </w:div>
    <w:div w:id="1290890269">
      <w:bodyDiv w:val="1"/>
      <w:marLeft w:val="0"/>
      <w:marRight w:val="0"/>
      <w:marTop w:val="0"/>
      <w:marBottom w:val="0"/>
      <w:divBdr>
        <w:top w:val="none" w:sz="0" w:space="0" w:color="auto"/>
        <w:left w:val="none" w:sz="0" w:space="0" w:color="auto"/>
        <w:bottom w:val="none" w:sz="0" w:space="0" w:color="auto"/>
        <w:right w:val="none" w:sz="0" w:space="0" w:color="auto"/>
      </w:divBdr>
    </w:div>
    <w:div w:id="1408267816">
      <w:bodyDiv w:val="1"/>
      <w:marLeft w:val="0"/>
      <w:marRight w:val="0"/>
      <w:marTop w:val="0"/>
      <w:marBottom w:val="0"/>
      <w:divBdr>
        <w:top w:val="none" w:sz="0" w:space="0" w:color="auto"/>
        <w:left w:val="none" w:sz="0" w:space="0" w:color="auto"/>
        <w:bottom w:val="none" w:sz="0" w:space="0" w:color="auto"/>
        <w:right w:val="none" w:sz="0" w:space="0" w:color="auto"/>
      </w:divBdr>
      <w:divsChild>
        <w:div w:id="501698395">
          <w:marLeft w:val="533"/>
          <w:marRight w:val="0"/>
          <w:marTop w:val="240"/>
          <w:marBottom w:val="0"/>
          <w:divBdr>
            <w:top w:val="none" w:sz="0" w:space="0" w:color="auto"/>
            <w:left w:val="none" w:sz="0" w:space="0" w:color="auto"/>
            <w:bottom w:val="none" w:sz="0" w:space="0" w:color="auto"/>
            <w:right w:val="none" w:sz="0" w:space="0" w:color="auto"/>
          </w:divBdr>
        </w:div>
        <w:div w:id="198127345">
          <w:marLeft w:val="533"/>
          <w:marRight w:val="0"/>
          <w:marTop w:val="240"/>
          <w:marBottom w:val="0"/>
          <w:divBdr>
            <w:top w:val="none" w:sz="0" w:space="0" w:color="auto"/>
            <w:left w:val="none" w:sz="0" w:space="0" w:color="auto"/>
            <w:bottom w:val="none" w:sz="0" w:space="0" w:color="auto"/>
            <w:right w:val="none" w:sz="0" w:space="0" w:color="auto"/>
          </w:divBdr>
        </w:div>
        <w:div w:id="2001763826">
          <w:marLeft w:val="533"/>
          <w:marRight w:val="0"/>
          <w:marTop w:val="240"/>
          <w:marBottom w:val="0"/>
          <w:divBdr>
            <w:top w:val="none" w:sz="0" w:space="0" w:color="auto"/>
            <w:left w:val="none" w:sz="0" w:space="0" w:color="auto"/>
            <w:bottom w:val="none" w:sz="0" w:space="0" w:color="auto"/>
            <w:right w:val="none" w:sz="0" w:space="0" w:color="auto"/>
          </w:divBdr>
        </w:div>
        <w:div w:id="1651323104">
          <w:marLeft w:val="533"/>
          <w:marRight w:val="0"/>
          <w:marTop w:val="240"/>
          <w:marBottom w:val="0"/>
          <w:divBdr>
            <w:top w:val="none" w:sz="0" w:space="0" w:color="auto"/>
            <w:left w:val="none" w:sz="0" w:space="0" w:color="auto"/>
            <w:bottom w:val="none" w:sz="0" w:space="0" w:color="auto"/>
            <w:right w:val="none" w:sz="0" w:space="0" w:color="auto"/>
          </w:divBdr>
        </w:div>
        <w:div w:id="59064622">
          <w:marLeft w:val="1166"/>
          <w:marRight w:val="0"/>
          <w:marTop w:val="134"/>
          <w:marBottom w:val="0"/>
          <w:divBdr>
            <w:top w:val="none" w:sz="0" w:space="0" w:color="auto"/>
            <w:left w:val="none" w:sz="0" w:space="0" w:color="auto"/>
            <w:bottom w:val="none" w:sz="0" w:space="0" w:color="auto"/>
            <w:right w:val="none" w:sz="0" w:space="0" w:color="auto"/>
          </w:divBdr>
        </w:div>
        <w:div w:id="1705934669">
          <w:marLeft w:val="1166"/>
          <w:marRight w:val="0"/>
          <w:marTop w:val="134"/>
          <w:marBottom w:val="0"/>
          <w:divBdr>
            <w:top w:val="none" w:sz="0" w:space="0" w:color="auto"/>
            <w:left w:val="none" w:sz="0" w:space="0" w:color="auto"/>
            <w:bottom w:val="none" w:sz="0" w:space="0" w:color="auto"/>
            <w:right w:val="none" w:sz="0" w:space="0" w:color="auto"/>
          </w:divBdr>
        </w:div>
      </w:divsChild>
    </w:div>
    <w:div w:id="1474442103">
      <w:bodyDiv w:val="1"/>
      <w:marLeft w:val="0"/>
      <w:marRight w:val="0"/>
      <w:marTop w:val="0"/>
      <w:marBottom w:val="0"/>
      <w:divBdr>
        <w:top w:val="none" w:sz="0" w:space="0" w:color="auto"/>
        <w:left w:val="none" w:sz="0" w:space="0" w:color="auto"/>
        <w:bottom w:val="none" w:sz="0" w:space="0" w:color="auto"/>
        <w:right w:val="none" w:sz="0" w:space="0" w:color="auto"/>
      </w:divBdr>
    </w:div>
    <w:div w:id="1810974881">
      <w:bodyDiv w:val="1"/>
      <w:marLeft w:val="0"/>
      <w:marRight w:val="0"/>
      <w:marTop w:val="0"/>
      <w:marBottom w:val="0"/>
      <w:divBdr>
        <w:top w:val="none" w:sz="0" w:space="0" w:color="auto"/>
        <w:left w:val="none" w:sz="0" w:space="0" w:color="auto"/>
        <w:bottom w:val="none" w:sz="0" w:space="0" w:color="auto"/>
        <w:right w:val="none" w:sz="0" w:space="0" w:color="auto"/>
      </w:divBdr>
    </w:div>
    <w:div w:id="20699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Ústav experimentální medicíny AV ČR, v. v. i.</Company>
  <LinksUpToDate>false</LinksUpToDate>
  <CharactersWithSpaces>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Sakellaris Georgios</dc:creator>
  <cp:keywords/>
  <dc:description/>
  <cp:lastModifiedBy>Sakellaris Georgios</cp:lastModifiedBy>
  <cp:revision>4</cp:revision>
  <dcterms:created xsi:type="dcterms:W3CDTF">2020-03-05T08:30:00Z</dcterms:created>
  <dcterms:modified xsi:type="dcterms:W3CDTF">2020-03-05T10:56:00Z</dcterms:modified>
</cp:coreProperties>
</file>